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F3A5F"/>
          <w:spacing w:val="30"/>
          <w:sz w:val="16"/>
          <w:szCs w:val="16"/>
        </w:rPr>
        <w:t xml:space="preserve">THE TOOLKIT  ·  NO. 12</w:t>
      </w:r>
    </w:p>
    <w:p>
      <w:pPr>
        <w:pBdr>
          <w:bottom w:val="single" w:color="1F3A5F" w:sz="12" w:space="6"/>
        </w:pBdr>
        <w:spacing w:after="80"/>
      </w:pPr>
      <w:r>
        <w:rPr>
          <w:rFonts w:ascii="Georgia" w:cs="Georgia" w:eastAsia="Georgia" w:hAnsi="Georgia"/>
          <w:b/>
          <w:bCs/>
          <w:sz w:val="48"/>
          <w:szCs w:val="48"/>
        </w:rPr>
        <w:t xml:space="preserve">GTM Motions Map</w:t>
      </w:r>
    </w:p>
    <w:p>
      <w:pPr>
        <w:spacing w:after="240"/>
      </w:pPr>
      <w:r>
        <w:rPr>
          <w:rFonts w:ascii="Georgia" w:cs="Georgia" w:eastAsia="Georgia" w:hAnsi="Georgia"/>
          <w:i/>
          <w:iCs/>
          <w:color w:val="595959"/>
          <w:sz w:val="19"/>
          <w:szCs w:val="19"/>
        </w:rPr>
        <w:t xml:space="preserve">Use it, adapt it, make it yours. This is a starting point, not a prescription.</w:t>
      </w:r>
    </w:p>
    <w:p>
      <w:pPr>
        <w:spacing w:after="200" w:line="276"/>
      </w:pPr>
      <w:r>
        <w:rPr>
          <w:rFonts w:ascii="Georgia" w:cs="Georgia" w:eastAsia="Georgia" w:hAnsi="Georgia"/>
          <w:sz w:val="22"/>
          <w:szCs w:val="22"/>
        </w:rPr>
        <w:t xml:space="preserve">A message that lives only on your website is a slogan. It becomes a go-to-market strategy when the same promise shows up in the three places a firm meets the market: what you sell, how you sell it, and how the market hears about you.</w:t>
      </w:r>
    </w:p>
    <w:p>
      <w:pPr>
        <w:keepNext/>
        <w:spacing w:after="0" w:before="120"/>
      </w:pPr>
      <w:r>
        <w:rPr>
          <w:rFonts w:ascii="Arial" w:cs="Arial" w:eastAsia="Arial" w:hAnsi="Arial"/>
          <w:color w:val="595959"/>
          <w:spacing w:val="20"/>
          <w:sz w:val="15"/>
          <w:szCs w:val="15"/>
        </w:rPr>
        <w:t xml:space="preserve">YOUR PROMISE (FROM THE MESSAGING HOUSE)</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PRODUCT MOTION: PACKAGING</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The message made tangible. The offer has to embody the promise, not just sit next to it. Watch-out: does any part of the offer contradict the promise? An hourly proposal under an 'outcomes over hours' promise is a contradiction the buyer will feel.</w:t>
      </w:r>
    </w:p>
    <w:p>
      <w:pPr>
        <w:keepNext/>
        <w:spacing w:after="0" w:before="120"/>
      </w:pPr>
      <w:r>
        <w:rPr>
          <w:rFonts w:ascii="Arial" w:cs="Arial" w:eastAsia="Arial" w:hAnsi="Arial"/>
          <w:color w:val="595959"/>
          <w:spacing w:val="20"/>
          <w:sz w:val="15"/>
          <w:szCs w:val="15"/>
        </w:rPr>
        <w:t xml:space="preserve">WHAT WE SELL, AND HOW IT IS PACKAGED</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WHERE THE PROMISE SHOWS UP IN THE OFFER</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THE “PROVE IT BEFORE THEY SPEND BIG” OFFER (E.G., A PAID DISCOVERY)</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SALES MOTION: THE CONVERSATION</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Sales is positioning, spoken. Lead with the client's problem in their words, not your capabilities.</w:t>
      </w:r>
    </w:p>
    <w:p>
      <w:pPr>
        <w:keepNext/>
        <w:spacing w:after="0" w:before="120"/>
      </w:pPr>
      <w:r>
        <w:rPr>
          <w:rFonts w:ascii="Arial" w:cs="Arial" w:eastAsia="Arial" w:hAnsi="Arial"/>
          <w:color w:val="595959"/>
          <w:spacing w:val="20"/>
          <w:sz w:val="15"/>
          <w:szCs w:val="15"/>
        </w:rPr>
        <w:t xml:space="preserve">HOW WE OPEN (THE PROBLEM, NOT OUR CAPABILITIES)</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HOW DISCOVERY PROVES THE PROMISE</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THE RATE / TOTAL-COST CONVERSATION, IN OUR WORDS</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THE REFERRAL ASK, AND WHEN WE MAKE IT</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MARKETING MOTION: REPUTATION</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Being useful in public to the small number of people who need exactly what you do. Decide who the right twenty people are, find the one place they already gather, and show up on a cadence you can sustain.</w:t>
      </w:r>
    </w:p>
    <w:p>
      <w:pPr>
        <w:keepNext/>
        <w:spacing w:after="0" w:before="120"/>
      </w:pPr>
      <w:r>
        <w:rPr>
          <w:rFonts w:ascii="Arial" w:cs="Arial" w:eastAsia="Arial" w:hAnsi="Arial"/>
          <w:color w:val="595959"/>
          <w:spacing w:val="20"/>
          <w:sz w:val="15"/>
          <w:szCs w:val="15"/>
        </w:rPr>
        <w:t xml:space="preserve">WHERE WE SHOW UP (WRITING, WORKSHOPS, COMMUNITY, REFERENCES)</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THE ONE USEFUL THING WE PUBLISH ON A REGULAR CADENCE</w:t>
      </w:r>
    </w:p>
    <w:p>
      <w:pPr>
        <w:pBdr>
          <w:bottom w:val="single" w:color="A6A6A6" w:sz="4" w:space="1"/>
        </w:pBdr>
        <w:spacing w:after="0" w:before="220"/>
      </w:pPr>
      <w:r>
        <w:rPr>
          <w:rFonts w:ascii="Georgia" w:cs="Georgia" w:eastAsia="Georgia" w:hAnsi="Georgia"/>
          <w:sz w:val="21"/>
          <w:szCs w:val="21"/>
        </w:rPr>
        <w:t xml:space="preserve"> </w:t>
      </w:r>
    </w:p>
    <w:p>
      <w:pPr>
        <w:keepNext/>
        <w:spacing w:after="0" w:before="120"/>
      </w:pPr>
      <w:r>
        <w:rPr>
          <w:rFonts w:ascii="Arial" w:cs="Arial" w:eastAsia="Arial" w:hAnsi="Arial"/>
          <w:color w:val="595959"/>
          <w:spacing w:val="20"/>
          <w:sz w:val="15"/>
          <w:szCs w:val="15"/>
        </w:rPr>
        <w:t xml:space="preserve">HOW A PROSPECT FINDS AND VERIFIES US BEFORE THEY EVER CALL</w:t>
      </w:r>
    </w:p>
    <w:p>
      <w:pPr>
        <w:pBdr>
          <w:bottom w:val="single" w:color="A6A6A6" w:sz="4" w:space="1"/>
        </w:pBdr>
        <w:spacing w:after="0" w:before="220"/>
      </w:pPr>
      <w:r>
        <w:rPr>
          <w:rFonts w:ascii="Georgia" w:cs="Georgia" w:eastAsia="Georgia" w:hAnsi="Georgia"/>
          <w:sz w:val="21"/>
          <w:szCs w:val="21"/>
        </w:rPr>
        <w:t xml:space="preserve"> </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CONSISTENCY CHECK</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The test of a real messaging house is that the same promise is visible in all three motions. When they disagree, the buyer feels it as a kind of dishonesty, even if they cannot name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MOTION</w:t>
            </w:r>
          </w:p>
        </w:tc>
        <w:tc>
          <w:tcPr>
            <w:tcW w:type="dxa" w:w="71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WHAT IT SAYS OUR PROMISE IS</w:t>
            </w:r>
          </w:p>
        </w:tc>
      </w:tr>
      <w:tr>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sz w:val="20"/>
                <w:szCs w:val="20"/>
              </w:rPr>
              <w:t xml:space="preserve">Product says</w:t>
            </w:r>
          </w:p>
        </w:tc>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sz w:val="20"/>
                <w:szCs w:val="20"/>
              </w:rPr>
              <w:t xml:space="preserve">Sales says</w:t>
            </w:r>
          </w:p>
        </w:tc>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r>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sz w:val="20"/>
                <w:szCs w:val="20"/>
              </w:rPr>
              <w:t xml:space="preserve">Marketing says</w:t>
            </w:r>
          </w:p>
        </w:tc>
        <w:tc>
          <w:tcPr>
            <w:tcW w:type="dxa" w:w="7160"/>
            <w:tcBorders>
              <w:top w:val="single" w:color="CCCCCC" w:sz="1"/>
              <w:left w:val="single" w:color="CCCCCC" w:sz="1"/>
              <w:bottom w:val="single" w:color="CCCCCC" w:sz="1"/>
              <w:right w:val="single" w:color="CCCCCC" w:sz="1"/>
            </w:tcBorders>
            <w:tcMar>
              <w:top w:type="dxa" w:w="100"/>
              <w:left w:type="dxa" w:w="120"/>
              <w:bottom w:type="dxa" w:w="100"/>
              <w:right w:type="dxa" w:w="120"/>
            </w:tcMar>
          </w:tcPr>
          <w:p>
            <w:pPr>
              <w:spacing w:after="0" w:before="120"/>
            </w:pPr>
            <w:r>
              <w:rPr>
                <w:rFonts w:ascii="Georgia" w:cs="Georgia" w:eastAsia="Georgia" w:hAnsi="Georgia"/>
                <w:sz w:val="20"/>
                <w:szCs w:val="20"/>
              </w:rPr>
              <w:t xml:space="preserve"> </w:t>
            </w:r>
          </w:p>
        </w:tc>
      </w:tr>
    </w:tbl>
    <w:p>
      <w:pPr>
        <w:spacing w:before="160"/>
      </w:pPr>
      <w:r>
        <w:rPr>
          <w:rFonts w:ascii="Georgia" w:cs="Georgia" w:eastAsia="Georgia" w:hAnsi="Georgia"/>
          <w:b/>
          <w:bCs/>
        </w:rPr>
        <w:t xml:space="preserve">Do all three agree? If not, fix the one that drifted.</w:t>
      </w:r>
    </w:p>
    <w:p>
      <w:pPr>
        <w:pBdr>
          <w:top w:val="single" w:color="D9D9D9" w:sz="4" w:space="6"/>
        </w:pBdr>
        <w:spacing w:after="0" w:before="400"/>
      </w:pPr>
      <w:r>
        <w:rPr>
          <w:rFonts w:ascii="Georgia" w:cs="Georgia" w:eastAsia="Georgia" w:hAnsi="Georgia"/>
          <w:i/>
          <w:iCs/>
          <w:color w:val="595959"/>
          <w:sz w:val="19"/>
          <w:szCs w:val="19"/>
        </w:rPr>
        <w:t xml:space="preserve">Get the full toolkit, updated and editable, at 58nights.com/impact.</w:t>
      </w:r>
    </w:p>
    <w:sectPr>
      <w:headerReference w:type="default" r:id="rId7"/>
      <w:footerReference w:type="default" r:id="rId8"/>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GTM Motions Map — Small Firm, Big Impact</dc:title>
  <dc:creator>Adam Mattis</dc:creator>
  <cp:lastModifiedBy>Un-named</cp:lastModifiedBy>
  <cp:revision>1</cp:revision>
  <dcterms:created xsi:type="dcterms:W3CDTF">2026-06-11T17:31:47.694Z</dcterms:created>
  <dcterms:modified xsi:type="dcterms:W3CDTF">2026-06-11T17:31:47.694Z</dcterms:modified>
</cp:coreProperties>
</file>

<file path=docProps/custom.xml><?xml version="1.0" encoding="utf-8"?>
<Properties xmlns="http://schemas.openxmlformats.org/officeDocument/2006/custom-properties" xmlns:vt="http://schemas.openxmlformats.org/officeDocument/2006/docPropsVTypes"/>
</file>