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1800"/>
      </w:pPr>
      <w:r>
        <w:rPr>
          <w:rFonts w:ascii="Arial" w:cs="Arial" w:eastAsia="Arial" w:hAnsi="Arial"/>
          <w:b/>
          <w:bCs/>
          <w:color w:val="1F3A5F"/>
          <w:spacing w:val="30"/>
          <w:sz w:val="18"/>
          <w:szCs w:val="18"/>
        </w:rPr>
        <w:t xml:space="preserve">THE TOOLKIT  ·  NO. 16</w:t>
      </w:r>
    </w:p>
    <w:p>
      <w:pPr>
        <w:pBdr>
          <w:bottom w:val="single" w:color="1F3A5F" w:sz="12" w:space="8"/>
        </w:pBdr>
        <w:spacing w:after="120"/>
      </w:pPr>
      <w:r>
        <w:rPr>
          <w:rFonts w:ascii="Georgia" w:cs="Georgia" w:eastAsia="Georgia" w:hAnsi="Georgia"/>
          <w:b/>
          <w:bCs/>
          <w:sz w:val="56"/>
          <w:szCs w:val="56"/>
        </w:rPr>
        <w:t xml:space="preserve">Mutual Non-Disclosure Agreement</w:t>
      </w:r>
    </w:p>
    <w:p>
      <w:pPr>
        <w:spacing w:after="400"/>
      </w:pPr>
      <w:r>
        <w:rPr>
          <w:rFonts w:ascii="Georgia" w:cs="Georgia" w:eastAsia="Georgia" w:hAnsi="Georgia"/>
          <w:i/>
          <w:iCs/>
          <w:color w:val="595959"/>
          <w:sz w:val="22"/>
          <w:szCs w:val="22"/>
        </w:rPr>
        <w:t xml:space="preserve">From Small Firm, Big Impact by Adam Mattis</w:t>
      </w:r>
    </w:p>
    <w:p>
      <w:pPr>
        <w:spacing w:after="160" w:line="276"/>
      </w:pPr>
      <w:r>
        <w:rPr>
          <w:rFonts w:ascii="Georgia" w:cs="Georgia" w:eastAsia="Georgia" w:hAnsi="Georgia"/>
          <w:sz w:val="22"/>
          <w:szCs w:val="22"/>
        </w:rPr>
        <w:t xml:space="preserve">Expect confidentiality to run both directions, and honor it like the business depends on it — because it does. This version is mutual: it protects what the client shows you and what you show the client, including the methods and materials that are the firm.</w:t>
      </w:r>
    </w:p>
    <w:p>
      <w:pPr>
        <w:spacing w:after="160" w:before="120"/>
      </w:pPr>
      <w:r>
        <w:rPr>
          <w:rFonts w:ascii="Georgia" w:cs="Georgia" w:eastAsia="Georgia" w:hAnsi="Georgia"/>
          <w:sz w:val="22"/>
          <w:szCs w:val="22"/>
        </w:rPr>
        <w:t xml:space="preserve">Use it like this:</w:t>
      </w:r>
    </w:p>
    <w:p>
      <w:pPr>
        <w:pStyle w:val="ListParagraph"/>
        <w:numPr>
          <w:ilvl w:val="0"/>
          <w:numId w:val="2"/>
        </w:numPr>
        <w:spacing w:after="80" w:line="264"/>
      </w:pPr>
      <w:r>
        <w:rPr>
          <w:rFonts w:ascii="Georgia" w:cs="Georgia" w:eastAsia="Georgia" w:hAnsi="Georgia"/>
          <w:sz w:val="21"/>
          <w:szCs w:val="21"/>
        </w:rPr>
        <w:t xml:space="preserve">Replace everything in </w:t>
      </w:r>
      <w:r>
        <w:rPr>
          <w:rFonts w:ascii="Georgia" w:cs="Georgia" w:eastAsia="Georgia" w:hAnsi="Georgia"/>
          <w:b/>
          <w:bCs/>
          <w:color w:val="1F3A5F"/>
          <w:sz w:val="21"/>
          <w:szCs w:val="21"/>
        </w:rPr>
        <w:t xml:space="preserve">[navy brackets]</w:t>
      </w:r>
      <w:r>
        <w:rPr>
          <w:rFonts w:ascii="Georgia" w:cs="Georgia" w:eastAsia="Georgia" w:hAnsi="Georgia"/>
          <w:sz w:val="21"/>
          <w:szCs w:val="21"/>
        </w:rPr>
        <w:t xml:space="preserve"> with your own words.</w:t>
      </w:r>
    </w:p>
    <w:p>
      <w:pPr>
        <w:pStyle w:val="ListParagraph"/>
        <w:numPr>
          <w:ilvl w:val="0"/>
          <w:numId w:val="2"/>
        </w:numPr>
        <w:spacing w:after="80" w:line="264"/>
      </w:pPr>
      <w:r>
        <w:rPr>
          <w:rFonts w:ascii="Georgia" w:cs="Georgia" w:eastAsia="Georgia" w:hAnsi="Georgia"/>
          <w:sz w:val="21"/>
          <w:szCs w:val="21"/>
        </w:rPr>
        <w:t xml:space="preserve">Delete the gray </w:t>
      </w:r>
      <w:r>
        <w:rPr>
          <w:rFonts w:ascii="Arial" w:cs="Arial" w:eastAsia="Arial" w:hAnsi="Arial"/>
          <w:b/>
          <w:bCs/>
          <w:color w:val="A6A6A6"/>
          <w:spacing w:val="20"/>
          <w:sz w:val="16"/>
          <w:szCs w:val="16"/>
        </w:rPr>
        <w:t xml:space="preserve">GUIDE</w:t>
      </w:r>
      <w:r>
        <w:rPr>
          <w:rFonts w:ascii="Georgia" w:cs="Georgia" w:eastAsia="Georgia" w:hAnsi="Georgia"/>
          <w:sz w:val="21"/>
          <w:szCs w:val="21"/>
        </w:rPr>
        <w:t xml:space="preserve"> notes. They are coaching, not content.</w:t>
      </w:r>
    </w:p>
    <w:p>
      <w:pPr>
        <w:pStyle w:val="ListParagraph"/>
        <w:numPr>
          <w:ilvl w:val="0"/>
          <w:numId w:val="2"/>
        </w:numPr>
        <w:spacing w:after="80" w:line="264"/>
      </w:pPr>
      <w:r>
        <w:rPr>
          <w:rFonts w:ascii="Georgia" w:cs="Georgia" w:eastAsia="Georgia" w:hAnsi="Georgia"/>
          <w:sz w:val="21"/>
          <w:szCs w:val="21"/>
        </w:rPr>
        <w:t xml:space="preserve">Delete this cover sheet. The document starts on the next page.</w:t>
      </w:r>
    </w:p>
    <w:p>
      <w:pPr>
        <w:pStyle w:val="ListParagraph"/>
        <w:numPr>
          <w:ilvl w:val="0"/>
          <w:numId w:val="2"/>
        </w:numPr>
        <w:spacing w:after="80" w:line="264"/>
      </w:pPr>
      <w:r>
        <w:rPr>
          <w:rFonts w:ascii="Georgia" w:cs="Georgia" w:eastAsia="Georgia" w:hAnsi="Georgia"/>
          <w:sz w:val="21"/>
          <w:szCs w:val="21"/>
        </w:rPr>
        <w:t xml:space="preserve">Before sending, search the document for “[” to catch anything unfilled.</w:t>
      </w:r>
    </w:p>
    <w:p>
      <w:pPr>
        <w:spacing w:before="200"/>
      </w:pPr>
      <w:r>
        <w:rPr>
          <w:rFonts w:ascii="Georgia" w:cs="Georgia" w:eastAsia="Georgia" w:hAnsi="Georgia"/>
          <w:i/>
          <w:iCs/>
          <w:color w:val="595959"/>
          <w:sz w:val="20"/>
          <w:szCs w:val="20"/>
        </w:rPr>
        <w:t xml:space="preserve">This template is provided for information only and is not legal advice. Have a licensed attorney in your jurisdiction review it before use.</w:t>
      </w:r>
    </w:p>
    <w:p>
      <w:pPr>
        <w:pBdr>
          <w:top w:val="single" w:color="D9D9D9" w:sz="4" w:space="8"/>
        </w:pBdr>
        <w:spacing w:after="0" w:before="500"/>
      </w:pPr>
      <w:r>
        <w:rPr>
          <w:rFonts w:ascii="Georgia" w:cs="Georgia" w:eastAsia="Georgia" w:hAnsi="Georgia"/>
          <w:i/>
          <w:iCs/>
          <w:color w:val="595959"/>
          <w:sz w:val="20"/>
          <w:szCs w:val="20"/>
        </w:rPr>
        <w:t xml:space="preserve">Use it, adapt it, make it yours. This is a starting point, not a prescription.</w:t>
      </w:r>
    </w:p>
    <w:p>
      <w:pPr>
        <w:spacing w:before="80"/>
      </w:pPr>
      <w:r>
        <w:rPr>
          <w:rFonts w:ascii="Georgia" w:cs="Georgia" w:eastAsia="Georgia" w:hAnsi="Georgia"/>
          <w:i/>
          <w:iCs/>
          <w:color w:val="595959"/>
          <w:sz w:val="20"/>
          <w:szCs w:val="20"/>
        </w:rPr>
        <w:t xml:space="preserve">The full toolkit, updated and editable, lives at 58nights.com/impact.</w:t>
      </w:r>
    </w:p>
    <w:p>
      <w:pPr>
        <w:sectPr>
          <w:headerReference w:type="default" r:id="rId7"/>
          <w:footerReference w:type="default" r:id="rId8"/>
          <w:pgSz w:w="12240" w:h="15840" w:orient="portrait"/>
          <w:pgMar w:top="1240" w:right="1440" w:bottom="1240" w:left="1440" w:header="708" w:footer="708" w:gutter="0"/>
          <w:pgNumType/>
          <w:docGrid w:linePitch="360"/>
        </w:sectPr>
      </w:pPr>
    </w:p>
    <w:p>
      <w:pPr>
        <w:spacing w:after="60" w:before="200"/>
      </w:pPr>
      <w:r>
        <w:rPr>
          <w:rFonts w:ascii="Arial" w:cs="Arial" w:eastAsia="Arial" w:hAnsi="Arial"/>
          <w:b/>
          <w:bCs/>
          <w:color w:val="1F3A5F"/>
          <w:spacing w:val="40"/>
          <w:sz w:val="18"/>
          <w:szCs w:val="18"/>
        </w:rPr>
        <w:t xml:space="preserve">MUTUAL NON-DISCLOSURE AGREEMENT</w:t>
      </w:r>
    </w:p>
    <w:p>
      <w:pPr>
        <w:pBdr>
          <w:bottom w:val="single" w:color="1F3A5F" w:sz="12" w:space="6"/>
        </w:pBdr>
        <w:spacing w:after="80"/>
      </w:pPr>
      <w:r>
        <w:rPr>
          <w:rFonts w:ascii="Georgia" w:cs="Georgia" w:eastAsia="Georgia" w:hAnsi="Georgia"/>
          <w:b/>
          <w:bCs/>
          <w:color w:val="1F3A5F"/>
          <w:sz w:val="44"/>
          <w:szCs w:val="44"/>
        </w:rPr>
        <w:t xml:space="preserve">[Your Firm] · [Client]</w:t>
      </w:r>
    </w:p>
    <w:p>
      <w:pPr>
        <w:spacing w:after="240"/>
      </w:pPr>
      <w:r>
        <w:rPr>
          <w:rFonts w:ascii="Georgia" w:cs="Georgia" w:eastAsia="Georgia" w:hAnsi="Georgia"/>
        </w:rPr>
        <w:t xml:space="preserve">This Mutual Non-Disclosure Agreement (“Agreement”) is entered into on </w:t>
      </w:r>
      <w:r>
        <w:rPr>
          <w:rFonts w:ascii="Georgia" w:cs="Georgia" w:eastAsia="Georgia" w:hAnsi="Georgia"/>
          <w:b/>
          <w:bCs/>
          <w:color w:val="1F3A5F"/>
        </w:rPr>
        <w:t xml:space="preserve">[date]</w:t>
      </w:r>
      <w:r>
        <w:rPr>
          <w:rFonts w:ascii="Georgia" w:cs="Georgia" w:eastAsia="Georgia" w:hAnsi="Georgia"/>
        </w:rPr>
        <w:t xml:space="preserve">, between </w:t>
      </w:r>
      <w:r>
        <w:rPr>
          <w:rFonts w:ascii="Georgia" w:cs="Georgia" w:eastAsia="Georgia" w:hAnsi="Georgia"/>
          <w:b/>
          <w:bCs/>
          <w:color w:val="1F3A5F"/>
        </w:rPr>
        <w:t xml:space="preserve">[Your Consulting Practice Name]</w:t>
      </w:r>
      <w:r>
        <w:rPr>
          <w:rFonts w:ascii="Georgia" w:cs="Georgia" w:eastAsia="Georgia" w:hAnsi="Georgia"/>
        </w:rPr>
        <w:t xml:space="preserve">, with its principal place of business at </w:t>
      </w:r>
      <w:r>
        <w:rPr>
          <w:rFonts w:ascii="Georgia" w:cs="Georgia" w:eastAsia="Georgia" w:hAnsi="Georgia"/>
          <w:b/>
          <w:bCs/>
          <w:color w:val="1F3A5F"/>
        </w:rPr>
        <w:t xml:space="preserve">[your address]</w:t>
      </w:r>
      <w:r>
        <w:rPr>
          <w:rFonts w:ascii="Georgia" w:cs="Georgia" w:eastAsia="Georgia" w:hAnsi="Georgia"/>
        </w:rPr>
        <w:t xml:space="preserve">, and </w:t>
      </w:r>
      <w:r>
        <w:rPr>
          <w:rFonts w:ascii="Georgia" w:cs="Georgia" w:eastAsia="Georgia" w:hAnsi="Georgia"/>
          <w:b/>
          <w:bCs/>
          <w:color w:val="1F3A5F"/>
        </w:rPr>
        <w:t xml:space="preserve">[Client's name]</w:t>
      </w:r>
      <w:r>
        <w:rPr>
          <w:rFonts w:ascii="Georgia" w:cs="Georgia" w:eastAsia="Georgia" w:hAnsi="Georgia"/>
        </w:rPr>
        <w:t xml:space="preserve">, with its principal place of business at </w:t>
      </w:r>
      <w:r>
        <w:rPr>
          <w:rFonts w:ascii="Georgia" w:cs="Georgia" w:eastAsia="Georgia" w:hAnsi="Georgia"/>
          <w:b/>
          <w:bCs/>
          <w:color w:val="1F3A5F"/>
        </w:rPr>
        <w:t xml:space="preserve">[client's address]</w:t>
      </w:r>
      <w:r>
        <w:rPr>
          <w:rFonts w:ascii="Georgia" w:cs="Georgia" w:eastAsia="Georgia" w:hAnsi="Georgia"/>
        </w:rPr>
        <w:t xml:space="preserve"> (each a “Party”; in respect of information it discloses, the “Disclosing Party,” and in respect of information it receives, the “Receiving Party”).</w:t>
      </w:r>
    </w:p>
    <w:p>
      <w:pPr>
        <w:keepNext/>
        <w:pBdr>
          <w:bottom w:val="single" w:color="D9D9D9" w:sz="4" w:space="4"/>
        </w:pBdr>
        <w:spacing w:after="120" w:before="320"/>
      </w:pPr>
      <w:r>
        <w:rPr>
          <w:rFonts w:ascii="Arial" w:cs="Arial" w:eastAsia="Arial" w:hAnsi="Arial"/>
          <w:b/>
          <w:bCs/>
          <w:color w:val="1F3A5F"/>
          <w:sz w:val="24"/>
          <w:szCs w:val="24"/>
        </w:rPr>
        <w:t xml:space="preserve">01</w:t>
      </w:r>
      <w:r>
        <w:rPr>
          <w:rFonts w:ascii="Arial" w:cs="Arial" w:eastAsia="Arial" w:hAnsi="Arial"/>
          <w:sz w:val="24"/>
          <w:szCs w:val="24"/>
        </w:rPr>
        <w:t xml:space="preserve">   </w:t>
      </w:r>
      <w:r>
        <w:rPr>
          <w:rFonts w:ascii="Arial" w:cs="Arial" w:eastAsia="Arial" w:hAnsi="Arial"/>
          <w:b/>
          <w:bCs/>
          <w:spacing w:val="20"/>
          <w:sz w:val="22"/>
          <w:szCs w:val="22"/>
        </w:rPr>
        <w:t xml:space="preserve">PURPOSE</w:t>
      </w:r>
    </w:p>
    <w:p>
      <w:pPr>
        <w:spacing w:after="160" w:line="276"/>
      </w:pPr>
      <w:r>
        <w:rPr>
          <w:rFonts w:ascii="Georgia" w:cs="Georgia" w:eastAsia="Georgia" w:hAnsi="Georgia"/>
        </w:rPr>
        <w:t xml:space="preserve">1.1  The purpose of this Agreement is to protect the confidential information either Party may disclose to the other in connection with their consulting engagement.</w:t>
      </w:r>
    </w:p>
    <w:p>
      <w:pPr>
        <w:keepNext/>
        <w:pBdr>
          <w:bottom w:val="single" w:color="D9D9D9" w:sz="4" w:space="4"/>
        </w:pBdr>
        <w:spacing w:after="120" w:before="320"/>
      </w:pPr>
      <w:r>
        <w:rPr>
          <w:rFonts w:ascii="Arial" w:cs="Arial" w:eastAsia="Arial" w:hAnsi="Arial"/>
          <w:b/>
          <w:bCs/>
          <w:color w:val="1F3A5F"/>
          <w:sz w:val="24"/>
          <w:szCs w:val="24"/>
        </w:rPr>
        <w:t xml:space="preserve">02</w:t>
      </w:r>
      <w:r>
        <w:rPr>
          <w:rFonts w:ascii="Arial" w:cs="Arial" w:eastAsia="Arial" w:hAnsi="Arial"/>
          <w:sz w:val="24"/>
          <w:szCs w:val="24"/>
        </w:rPr>
        <w:t xml:space="preserve">   </w:t>
      </w:r>
      <w:r>
        <w:rPr>
          <w:rFonts w:ascii="Arial" w:cs="Arial" w:eastAsia="Arial" w:hAnsi="Arial"/>
          <w:b/>
          <w:bCs/>
          <w:spacing w:val="20"/>
          <w:sz w:val="22"/>
          <w:szCs w:val="22"/>
        </w:rPr>
        <w:t xml:space="preserve">CONFIDENTIAL INFORMATION</w:t>
      </w:r>
    </w:p>
    <w:p>
      <w:pPr>
        <w:spacing w:after="160" w:line="276"/>
      </w:pPr>
      <w:r>
        <w:rPr>
          <w:rFonts w:ascii="Georgia" w:cs="Georgia" w:eastAsia="Georgia" w:hAnsi="Georgia"/>
        </w:rPr>
        <w:t xml:space="preserve">2.1  “Confidential Information” refers to any information, data, or materials, in any form — oral, written, or electronic — disclosed by the Disclosing Party to the Receiving Party that is marked confidential or reasonably understood to be confidential.</w:t>
      </w:r>
    </w:p>
    <w:p>
      <w:pPr>
        <w:spacing w:after="160" w:line="276"/>
      </w:pPr>
      <w:r>
        <w:rPr>
          <w:rFonts w:ascii="Georgia" w:cs="Georgia" w:eastAsia="Georgia" w:hAnsi="Georgia"/>
        </w:rPr>
        <w:t xml:space="preserve">2.2  Confidential Information may include, but is not limited to, trade secrets, business plans, financial information, marketing strategies, client lists, proprietary methodologies, and any other information that is not publicly available.</w:t>
      </w:r>
    </w:p>
    <w:p>
      <w:pPr>
        <w:keepNext/>
        <w:pBdr>
          <w:bottom w:val="single" w:color="D9D9D9" w:sz="4" w:space="4"/>
        </w:pBdr>
        <w:spacing w:after="120" w:before="320"/>
      </w:pPr>
      <w:r>
        <w:rPr>
          <w:rFonts w:ascii="Arial" w:cs="Arial" w:eastAsia="Arial" w:hAnsi="Arial"/>
          <w:b/>
          <w:bCs/>
          <w:color w:val="1F3A5F"/>
          <w:sz w:val="24"/>
          <w:szCs w:val="24"/>
        </w:rPr>
        <w:t xml:space="preserve">03</w:t>
      </w:r>
      <w:r>
        <w:rPr>
          <w:rFonts w:ascii="Arial" w:cs="Arial" w:eastAsia="Arial" w:hAnsi="Arial"/>
          <w:sz w:val="24"/>
          <w:szCs w:val="24"/>
        </w:rPr>
        <w:t xml:space="preserve">   </w:t>
      </w:r>
      <w:r>
        <w:rPr>
          <w:rFonts w:ascii="Arial" w:cs="Arial" w:eastAsia="Arial" w:hAnsi="Arial"/>
          <w:b/>
          <w:bCs/>
          <w:spacing w:val="20"/>
          <w:sz w:val="22"/>
          <w:szCs w:val="22"/>
        </w:rPr>
        <w:t xml:space="preserve">OBLIGATIONS OF THE RECEIVING PARTY</w:t>
      </w:r>
    </w:p>
    <w:p>
      <w:pPr>
        <w:spacing w:after="160" w:line="276"/>
      </w:pPr>
      <w:r>
        <w:rPr>
          <w:rFonts w:ascii="Georgia" w:cs="Georgia" w:eastAsia="Georgia" w:hAnsi="Georgia"/>
        </w:rPr>
        <w:t xml:space="preserve">3.1  The Receiving Party agrees to maintain the confidentiality of all Confidential Information received from the Disclosing Party during the consulting engagement.</w:t>
      </w:r>
    </w:p>
    <w:p>
      <w:pPr>
        <w:spacing w:after="160" w:line="276"/>
      </w:pPr>
      <w:r>
        <w:rPr>
          <w:rFonts w:ascii="Georgia" w:cs="Georgia" w:eastAsia="Georgia" w:hAnsi="Georgia"/>
        </w:rPr>
        <w:t xml:space="preserve">3.2  The Receiving Party shall not disclose, directly or indirectly, any Confidential Information to any third party without the prior written consent of the Disclosing Party.</w:t>
      </w:r>
    </w:p>
    <w:p>
      <w:pPr>
        <w:spacing w:after="160" w:line="276"/>
      </w:pPr>
      <w:r>
        <w:rPr>
          <w:rFonts w:ascii="Georgia" w:cs="Georgia" w:eastAsia="Georgia" w:hAnsi="Georgia"/>
        </w:rPr>
        <w:t xml:space="preserve">3.3  The Receiving Party may use Confidential Information only for the purpose of the consulting engagement and shall take all reasonable measures to protect it from unauthorized disclosure or use.</w:t>
      </w:r>
    </w:p>
    <w:p>
      <w:pPr>
        <w:spacing w:after="160" w:line="276"/>
      </w:pPr>
      <w:r>
        <w:rPr>
          <w:rFonts w:ascii="Georgia" w:cs="Georgia" w:eastAsia="Georgia" w:hAnsi="Georgia"/>
        </w:rPr>
        <w:t xml:space="preserve">3.4  These obligations survive the termination of the consulting engagement.</w:t>
      </w:r>
    </w:p>
    <w:p>
      <w:pPr>
        <w:keepNext/>
        <w:pBdr>
          <w:bottom w:val="single" w:color="D9D9D9" w:sz="4" w:space="4"/>
        </w:pBdr>
        <w:spacing w:after="120" w:before="320"/>
      </w:pPr>
      <w:r>
        <w:rPr>
          <w:rFonts w:ascii="Arial" w:cs="Arial" w:eastAsia="Arial" w:hAnsi="Arial"/>
          <w:b/>
          <w:bCs/>
          <w:color w:val="1F3A5F"/>
          <w:sz w:val="24"/>
          <w:szCs w:val="24"/>
        </w:rPr>
        <w:t xml:space="preserve">04</w:t>
      </w:r>
      <w:r>
        <w:rPr>
          <w:rFonts w:ascii="Arial" w:cs="Arial" w:eastAsia="Arial" w:hAnsi="Arial"/>
          <w:sz w:val="24"/>
          <w:szCs w:val="24"/>
        </w:rPr>
        <w:t xml:space="preserve">   </w:t>
      </w:r>
      <w:r>
        <w:rPr>
          <w:rFonts w:ascii="Arial" w:cs="Arial" w:eastAsia="Arial" w:hAnsi="Arial"/>
          <w:b/>
          <w:bCs/>
          <w:spacing w:val="20"/>
          <w:sz w:val="22"/>
          <w:szCs w:val="22"/>
        </w:rPr>
        <w:t xml:space="preserve">EXCEPTIONS</w:t>
      </w:r>
    </w:p>
    <w:p>
      <w:pPr>
        <w:spacing w:after="160" w:line="276"/>
      </w:pPr>
      <w:r>
        <w:rPr>
          <w:rFonts w:ascii="Georgia" w:cs="Georgia" w:eastAsia="Georgia" w:hAnsi="Georgia"/>
        </w:rPr>
        <w:t xml:space="preserve">4.1  The obligations of confidentiality do not apply to information that:</w:t>
      </w:r>
    </w:p>
    <w:p>
      <w:pPr>
        <w:pStyle w:val="ListParagraph"/>
        <w:numPr>
          <w:ilvl w:val="0"/>
          <w:numId w:val="2"/>
        </w:numPr>
        <w:spacing w:after="80" w:line="264"/>
      </w:pPr>
      <w:r>
        <w:rPr>
          <w:rFonts w:ascii="Georgia" w:cs="Georgia" w:eastAsia="Georgia" w:hAnsi="Georgia"/>
        </w:rPr>
        <w:t xml:space="preserve">is or becomes publicly known through no fault of the Receiving Party;</w:t>
      </w:r>
    </w:p>
    <w:p>
      <w:pPr>
        <w:pStyle w:val="ListParagraph"/>
        <w:numPr>
          <w:ilvl w:val="0"/>
          <w:numId w:val="2"/>
        </w:numPr>
        <w:spacing w:after="80" w:line="264"/>
      </w:pPr>
      <w:r>
        <w:rPr>
          <w:rFonts w:ascii="Georgia" w:cs="Georgia" w:eastAsia="Georgia" w:hAnsi="Georgia"/>
        </w:rPr>
        <w:t xml:space="preserve">was already in the Receiving Party's possession prior to disclosure;</w:t>
      </w:r>
    </w:p>
    <w:p>
      <w:pPr>
        <w:pStyle w:val="ListParagraph"/>
        <w:numPr>
          <w:ilvl w:val="0"/>
          <w:numId w:val="2"/>
        </w:numPr>
        <w:spacing w:after="80" w:line="264"/>
      </w:pPr>
      <w:r>
        <w:rPr>
          <w:rFonts w:ascii="Georgia" w:cs="Georgia" w:eastAsia="Georgia" w:hAnsi="Georgia"/>
        </w:rPr>
        <w:t xml:space="preserve">is rightfully obtained from a third party without a duty of confidentiality; or</w:t>
      </w:r>
    </w:p>
    <w:p>
      <w:pPr>
        <w:pStyle w:val="ListParagraph"/>
        <w:numPr>
          <w:ilvl w:val="0"/>
          <w:numId w:val="2"/>
        </w:numPr>
        <w:spacing w:after="80" w:line="264"/>
      </w:pPr>
      <w:r>
        <w:rPr>
          <w:rFonts w:ascii="Georgia" w:cs="Georgia" w:eastAsia="Georgia" w:hAnsi="Georgia"/>
        </w:rPr>
        <w:t xml:space="preserve">is required to be disclosed by law, regulation, or court order, provided the Receiving Party gives prompt notice so the Disclosing Party may seek a protective order.</w:t>
      </w:r>
    </w:p>
    <w:p>
      <w:pPr>
        <w:keepNext/>
        <w:pBdr>
          <w:bottom w:val="single" w:color="D9D9D9" w:sz="4" w:space="4"/>
        </w:pBdr>
        <w:spacing w:after="120" w:before="320"/>
      </w:pPr>
      <w:r>
        <w:rPr>
          <w:rFonts w:ascii="Arial" w:cs="Arial" w:eastAsia="Arial" w:hAnsi="Arial"/>
          <w:b/>
          <w:bCs/>
          <w:color w:val="1F3A5F"/>
          <w:sz w:val="24"/>
          <w:szCs w:val="24"/>
        </w:rPr>
        <w:t xml:space="preserve">05</w:t>
      </w:r>
      <w:r>
        <w:rPr>
          <w:rFonts w:ascii="Arial" w:cs="Arial" w:eastAsia="Arial" w:hAnsi="Arial"/>
          <w:sz w:val="24"/>
          <w:szCs w:val="24"/>
        </w:rPr>
        <w:t xml:space="preserve">   </w:t>
      </w:r>
      <w:r>
        <w:rPr>
          <w:rFonts w:ascii="Arial" w:cs="Arial" w:eastAsia="Arial" w:hAnsi="Arial"/>
          <w:b/>
          <w:bCs/>
          <w:spacing w:val="20"/>
          <w:sz w:val="22"/>
          <w:szCs w:val="22"/>
        </w:rPr>
        <w:t xml:space="preserve">RETURN OR DESTRUCTION OF MATERIALS</w:t>
      </w:r>
    </w:p>
    <w:p>
      <w:pPr>
        <w:spacing w:after="160" w:line="276"/>
      </w:pPr>
      <w:r>
        <w:rPr>
          <w:rFonts w:ascii="Georgia" w:cs="Georgia" w:eastAsia="Georgia" w:hAnsi="Georgia"/>
        </w:rPr>
        <w:t xml:space="preserve">5.1  Upon termination of the consulting engagement, or upon the Disclosing Party's written request, the Receiving Party shall promptly return or destroy all Confidential Information in its possession, including all copies, and certify in writing that it has done so. The Receiving Party may retain one archival copy solely as required by law or its bona fide document-retention policy, which remains subject to this Agreement.</w:t>
      </w:r>
    </w:p>
    <w:p>
      <w:pPr>
        <w:keepNext/>
        <w:pBdr>
          <w:bottom w:val="single" w:color="D9D9D9" w:sz="4" w:space="4"/>
        </w:pBdr>
        <w:spacing w:after="120" w:before="320"/>
      </w:pPr>
      <w:r>
        <w:rPr>
          <w:rFonts w:ascii="Arial" w:cs="Arial" w:eastAsia="Arial" w:hAnsi="Arial"/>
          <w:b/>
          <w:bCs/>
          <w:color w:val="1F3A5F"/>
          <w:sz w:val="24"/>
          <w:szCs w:val="24"/>
        </w:rPr>
        <w:t xml:space="preserve">06</w:t>
      </w:r>
      <w:r>
        <w:rPr>
          <w:rFonts w:ascii="Arial" w:cs="Arial" w:eastAsia="Arial" w:hAnsi="Arial"/>
          <w:sz w:val="24"/>
          <w:szCs w:val="24"/>
        </w:rPr>
        <w:t xml:space="preserve">   </w:t>
      </w:r>
      <w:r>
        <w:rPr>
          <w:rFonts w:ascii="Arial" w:cs="Arial" w:eastAsia="Arial" w:hAnsi="Arial"/>
          <w:b/>
          <w:bCs/>
          <w:spacing w:val="20"/>
          <w:sz w:val="22"/>
          <w:szCs w:val="22"/>
        </w:rPr>
        <w:t xml:space="preserve">GOVERNING LAW</w:t>
      </w:r>
    </w:p>
    <w:p>
      <w:pPr>
        <w:spacing w:after="160" w:line="276"/>
      </w:pPr>
      <w:r>
        <w:rPr>
          <w:rFonts w:ascii="Georgia" w:cs="Georgia" w:eastAsia="Georgia" w:hAnsi="Georgia"/>
        </w:rPr>
        <w:t xml:space="preserve">6.1  This Agreement shall be governed by and construed in accordance with the laws of </w:t>
      </w:r>
      <w:r>
        <w:rPr>
          <w:rFonts w:ascii="Georgia" w:cs="Georgia" w:eastAsia="Georgia" w:hAnsi="Georgia"/>
          <w:b/>
          <w:bCs/>
          <w:color w:val="1F3A5F"/>
        </w:rPr>
        <w:t xml:space="preserve">[State / Country]</w:t>
      </w:r>
      <w:r>
        <w:rPr>
          <w:rFonts w:ascii="Georgia" w:cs="Georgia" w:eastAsia="Georgia" w:hAnsi="Georgia"/>
        </w:rPr>
        <w:t xml:space="preserve">.</w:t>
      </w:r>
    </w:p>
    <w:p>
      <w:pPr>
        <w:keepNext/>
        <w:pBdr>
          <w:bottom w:val="single" w:color="D9D9D9" w:sz="4" w:space="4"/>
        </w:pBdr>
        <w:spacing w:after="120" w:before="320"/>
      </w:pPr>
      <w:r>
        <w:rPr>
          <w:rFonts w:ascii="Arial" w:cs="Arial" w:eastAsia="Arial" w:hAnsi="Arial"/>
          <w:b/>
          <w:bCs/>
          <w:color w:val="1F3A5F"/>
          <w:sz w:val="24"/>
          <w:szCs w:val="24"/>
        </w:rPr>
        <w:t xml:space="preserve">07</w:t>
      </w:r>
      <w:r>
        <w:rPr>
          <w:rFonts w:ascii="Arial" w:cs="Arial" w:eastAsia="Arial" w:hAnsi="Arial"/>
          <w:sz w:val="24"/>
          <w:szCs w:val="24"/>
        </w:rPr>
        <w:t xml:space="preserve">   </w:t>
      </w:r>
      <w:r>
        <w:rPr>
          <w:rFonts w:ascii="Arial" w:cs="Arial" w:eastAsia="Arial" w:hAnsi="Arial"/>
          <w:b/>
          <w:bCs/>
          <w:spacing w:val="20"/>
          <w:sz w:val="22"/>
          <w:szCs w:val="22"/>
        </w:rPr>
        <w:t xml:space="preserve">TERM</w:t>
      </w:r>
    </w:p>
    <w:p>
      <w:pPr>
        <w:spacing w:after="160" w:line="276"/>
      </w:pPr>
      <w:r>
        <w:rPr>
          <w:rFonts w:ascii="Georgia" w:cs="Georgia" w:eastAsia="Georgia" w:hAnsi="Georgia"/>
        </w:rPr>
        <w:t xml:space="preserve">7.1  This Agreement remains in effect for the duration of the consulting engagement and for a period of </w:t>
      </w:r>
      <w:r>
        <w:rPr>
          <w:rFonts w:ascii="Georgia" w:cs="Georgia" w:eastAsia="Georgia" w:hAnsi="Georgia"/>
          <w:b/>
          <w:bCs/>
          <w:color w:val="1F3A5F"/>
        </w:rPr>
        <w:t xml:space="preserve">[number]</w:t>
      </w:r>
      <w:r>
        <w:rPr>
          <w:rFonts w:ascii="Georgia" w:cs="Georgia" w:eastAsia="Georgia" w:hAnsi="Georgia"/>
        </w:rPr>
        <w:t xml:space="preserve"> years thereafter.</w:t>
      </w:r>
    </w:p>
    <w:p>
      <w:pPr>
        <w:spacing w:before="240"/>
      </w:pPr>
      <w:r>
        <w:rPr>
          <w:rFonts w:ascii="Georgia" w:cs="Georgia" w:eastAsia="Georgia" w:hAnsi="Georgia"/>
          <w:i/>
          <w:iCs/>
        </w:rPr>
        <w:t xml:space="preserve">IN WITNESS WHEREOF, the parties hereto have executed this Mutual Non-Disclosure Agreement as of the date first above written.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none"/>
              <w:left w:val="none"/>
              <w:bottom w:val="none"/>
              <w:right w:val="none"/>
            </w:tcBorders>
          </w:tcPr>
          <w:p>
            <w:pPr>
              <w:pBdr>
                <w:bottom w:val="single" w:color="000000" w:sz="4" w:space="1"/>
              </w:pBdr>
              <w:spacing w:after="0" w:before="360"/>
            </w:pPr>
            <w:r>
              <w:rPr>
                <w:rFonts w:ascii="Georgia" w:cs="Georgia" w:eastAsia="Georgia" w:hAnsi="Georgia"/>
                <w:sz w:val="21"/>
                <w:szCs w:val="21"/>
              </w:rPr>
              <w:t xml:space="preserve"> </w:t>
            </w:r>
          </w:p>
          <w:p>
            <w:pPr>
              <w:spacing w:after="0" w:before="40"/>
            </w:pPr>
            <w:r>
              <w:rPr>
                <w:rFonts w:ascii="Arial" w:cs="Arial" w:eastAsia="Arial" w:hAnsi="Arial"/>
                <w:color w:val="595959"/>
                <w:spacing w:val="20"/>
                <w:sz w:val="15"/>
                <w:szCs w:val="15"/>
              </w:rPr>
              <w:t xml:space="preserve">PARTY 1 — NAME, TITLE, DATE</w:t>
            </w:r>
          </w:p>
        </w:tc>
        <w:tc>
          <w:tcPr>
            <w:tcW w:type="dxa" w:w="240"/>
            <w:tcBorders>
              <w:top w:val="none"/>
              <w:left w:val="none"/>
              <w:bottom w:val="none"/>
              <w:right w:val="none"/>
            </w:tcBorders>
          </w:tcPr>
          <w:p>
            <w:r>
              <w:rPr>
                <w:rFonts w:ascii="Georgia" w:cs="Georgia" w:eastAsia="Georgia" w:hAnsi="Georgia"/>
              </w:rPr>
              <w:t xml:space="preserve"> </w:t>
            </w:r>
          </w:p>
        </w:tc>
        <w:tc>
          <w:tcPr>
            <w:tcW w:type="dxa" w:w="4560"/>
            <w:tcBorders>
              <w:top w:val="none"/>
              <w:left w:val="none"/>
              <w:bottom w:val="none"/>
              <w:right w:val="none"/>
            </w:tcBorders>
          </w:tcPr>
          <w:p>
            <w:pPr>
              <w:pBdr>
                <w:bottom w:val="single" w:color="000000" w:sz="4" w:space="1"/>
              </w:pBdr>
              <w:spacing w:after="0" w:before="360"/>
            </w:pPr>
            <w:r>
              <w:rPr>
                <w:rFonts w:ascii="Georgia" w:cs="Georgia" w:eastAsia="Georgia" w:hAnsi="Georgia"/>
                <w:sz w:val="21"/>
                <w:szCs w:val="21"/>
              </w:rPr>
              <w:t xml:space="preserve"> </w:t>
            </w:r>
          </w:p>
          <w:p>
            <w:pPr>
              <w:spacing w:after="0" w:before="40"/>
            </w:pPr>
            <w:r>
              <w:rPr>
                <w:rFonts w:ascii="Arial" w:cs="Arial" w:eastAsia="Arial" w:hAnsi="Arial"/>
                <w:color w:val="595959"/>
                <w:spacing w:val="20"/>
                <w:sz w:val="15"/>
                <w:szCs w:val="15"/>
              </w:rPr>
              <w:t xml:space="preserve">PARTY 2 — NAME, TITLE, DATE</w:t>
            </w:r>
          </w:p>
        </w:tc>
      </w:tr>
    </w:tbl>
    <w:sectPr>
      <w:headerReference w:type="default" r:id="rId9"/>
      <w:footerReference w:type="default" r:id="rId10"/>
      <w:pgSz w:w="12240" w:h="15840" w:orient="portrait"/>
      <w:pgMar w:top="1240" w:right="1440" w:bottom="12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From Small Firm, Big Impact by Adam Mattis  ·  v1.0 — June 2026  ·  delete this cover sheet before use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Confidential</w:t>
    </w:r>
    <w:r>
      <w:rPr>
        <w:rFonts w:ascii="Arial" w:cs="Arial" w:eastAsia="Arial" w:hAnsi="Arial"/>
        <w:color w:val="A6A6A6"/>
        <w:sz w:val="15"/>
        <w:szCs w:val="15"/>
      </w:rPr>
      <w:t xml:space="preserv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595959"/>
        <w:spacing w:val="30"/>
        <w:sz w:val="15"/>
        <w:szCs w:val="15"/>
      </w:rPr>
      <w:t xml:space="preserve">SMALL FIRM, BIG IMPACT</w:t>
    </w:r>
    <w:r>
      <w:rPr>
        <w:rFonts w:ascii="Arial" w:cs="Arial" w:eastAsia="Arial" w:hAnsi="Arial"/>
        <w:color w:val="1F3A5F"/>
        <w:spacing w:val="30"/>
        <w:sz w:val="15"/>
        <w:szCs w:val="15"/>
      </w:rPr>
      <w:t xml:space="preserve">	58NIGHTS.COM/IMPACT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1F3A5F"/>
        <w:spacing w:val="30"/>
        <w:sz w:val="15"/>
        <w:szCs w:val="15"/>
      </w:rPr>
      <w:t xml:space="preserve">[YOUR FIRM]</w:t>
    </w:r>
    <w:r>
      <w:rPr>
        <w:rFonts w:ascii="Arial" w:cs="Arial" w:eastAsia="Arial" w:hAnsi="Arial"/>
        <w:color w:val="1F3A5F"/>
        <w:spacing w:val="30"/>
        <w:sz w:val="15"/>
        <w:szCs w:val="15"/>
      </w:rPr>
      <w:t xml:space="preserve">	MUTUAL 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3"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4" w15:restartNumberingAfterBreak="0">
    <w:multiLevelType w:val="hybridMultilevel"/>
    <w:lvl w:ilvl="0" w15:tentative="1">
      <w:start w:val="1"/>
      <w:numFmt w:val="decimal"/>
      <w:lvlText w:val="%1."/>
      <w:lvlJc w:val="left"/>
      <w:pPr>
        <w:ind w:left="360" w:hanging="360"/>
      </w:pPr>
      <w:rPr>
        <w:rFonts w:ascii="Arial" w:cs="Arial" w:eastAsia="Arial" w:hAnsi="Arial"/>
        <w:color w:val="1F3A5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NDA — Small Firm, Big Impact</dc:title>
  <dc:creator>Adam Mattis</dc:creator>
  <cp:lastModifiedBy>Un-named</cp:lastModifiedBy>
  <cp:revision>1</cp:revision>
  <dcterms:created xsi:type="dcterms:W3CDTF">2026-06-11T17:31:47.833Z</dcterms:created>
  <dcterms:modified xsi:type="dcterms:W3CDTF">2026-06-11T17:31:47.833Z</dcterms:modified>
</cp:coreProperties>
</file>

<file path=docProps/custom.xml><?xml version="1.0" encoding="utf-8"?>
<Properties xmlns="http://schemas.openxmlformats.org/officeDocument/2006/custom-properties" xmlns:vt="http://schemas.openxmlformats.org/officeDocument/2006/docPropsVTypes"/>
</file>