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1F3A5F"/>
          <w:spacing w:val="30"/>
          <w:sz w:val="16"/>
          <w:szCs w:val="16"/>
        </w:rPr>
        <w:t xml:space="preserve">THE TOOLKIT  ·  NO. 19</w:t>
      </w:r>
    </w:p>
    <w:p>
      <w:pPr>
        <w:pBdr>
          <w:bottom w:val="single" w:color="1F3A5F" w:sz="12" w:space="6"/>
        </w:pBdr>
        <w:spacing w:after="80"/>
      </w:pPr>
      <w:r>
        <w:rPr>
          <w:rFonts w:ascii="Georgia" w:cs="Georgia" w:eastAsia="Georgia" w:hAnsi="Georgia"/>
          <w:b/>
          <w:bCs/>
          <w:sz w:val="48"/>
          <w:szCs w:val="48"/>
        </w:rPr>
        <w:t xml:space="preserve">PESTEL Analysis Workshop</w:t>
      </w:r>
    </w:p>
    <w:p>
      <w:pPr>
        <w:spacing w:after="240"/>
      </w:pP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Use it, adapt it, make it yours. This is a starting point, not a prescription.</w:t>
      </w:r>
    </w:p>
    <w:p>
      <w:pPr>
        <w:spacing w:after="200" w:line="276"/>
      </w:pPr>
      <w:r>
        <w:rPr>
          <w:rFonts w:ascii="Georgia" w:cs="Georgia" w:eastAsia="Georgia" w:hAnsi="Georgia"/>
          <w:sz w:val="22"/>
          <w:szCs w:val="22"/>
        </w:rPr>
        <w:t xml:space="preserve">A facilitator's run-sheet for analyzing the external forces acting on a business — political, economic, socio-cultural, technological, environmental, and legal.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01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OBJECTIVES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Identify and analyze the external factors — Political, Economic, Socio-cultural, Technological, Environmental, Legal — that can impact the organization.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Assess the opportunities and threats arising from those factors.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Develop strategies and action plans based on the analysis.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02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AGENDA (HALF DAY, ~4.5 HOURS)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3060"/>
        <w:gridCol w:w="4700"/>
      </w:tblGrid>
      <w:tr>
        <w:trPr>
          <w:tblHeader/>
        </w:trP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TIME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SEGMENT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WHAT HAPPENS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30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Introduction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Welcome, objectives, why external factors are critical right now.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15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PESTEL overview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What each letter covers, with one example per factor relevant to this organization.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10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Group formation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Small groups with a deliberate mix of perspectives; assign each group one or more factors.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45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Data gathering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Groups research their factors using industry reports, government publications, and what the room already knows. Each group summarizes findings.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30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Group presentations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Each group presents; capture implications, not just facts.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45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Discussion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The interplay between factors; which combinations create the real opportunities and threats.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30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Connect to SWOT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Map findings onto strengths, weaknesses, opportunities, threats.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45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Strategy development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Strategies to capitalize on opportunities and mitigate threats.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20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Action planning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Specific actions, owners, and timelines.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15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Close and next steps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Key takeaways; set the cadence for monitoring external factors.</w:t>
            </w:r>
          </w:p>
        </w:tc>
      </w:tr>
    </w:tbl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03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CAPTURE SHEET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4060"/>
        <w:gridCol w:w="3900"/>
      </w:tblGrid>
      <w:tr>
        <w:trPr>
          <w:tblHeader/>
        </w:trP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FACTOR</w:t>
            </w:r>
          </w:p>
        </w:tc>
        <w:tc>
          <w:tcPr>
            <w:tcW w:type="dxa" w:w="4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WHAT WE FOUND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SO WHAT — OPPORTUNITY OR THREAT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P</w:t>
            </w:r>
          </w:p>
        </w:tc>
        <w:tc>
          <w:tcPr>
            <w:tcW w:type="dxa" w:w="4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E</w:t>
            </w:r>
          </w:p>
        </w:tc>
        <w:tc>
          <w:tcPr>
            <w:tcW w:type="dxa" w:w="4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S</w:t>
            </w:r>
          </w:p>
        </w:tc>
        <w:tc>
          <w:tcPr>
            <w:tcW w:type="dxa" w:w="4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T</w:t>
            </w:r>
          </w:p>
        </w:tc>
        <w:tc>
          <w:tcPr>
            <w:tcW w:type="dxa" w:w="4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E</w:t>
            </w:r>
          </w:p>
        </w:tc>
        <w:tc>
          <w:tcPr>
            <w:tcW w:type="dxa" w:w="4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L</w:t>
            </w:r>
          </w:p>
        </w:tc>
        <w:tc>
          <w:tcPr>
            <w:tcW w:type="dxa" w:w="4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</w:tbl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04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MATERIALS</w:t>
      </w:r>
    </w:p>
    <w:p>
      <w:pPr>
        <w:pStyle w:val="ListParagraph"/>
        <w:numPr>
          <w:ilvl w:val="0"/>
          <w:numId w:val="3"/>
        </w:numPr>
        <w:spacing w:after="80" w:line="264"/>
      </w:pPr>
      <w:r>
        <w:rPr>
          <w:rFonts w:ascii="Georgia" w:cs="Georgia" w:eastAsia="Georgia" w:hAnsi="Georgia"/>
        </w:rPr>
        <w:t xml:space="preserve">Whiteboards or presentation tools for group work</w:t>
      </w:r>
    </w:p>
    <w:p>
      <w:pPr>
        <w:pStyle w:val="ListParagraph"/>
        <w:numPr>
          <w:ilvl w:val="0"/>
          <w:numId w:val="3"/>
        </w:numPr>
        <w:spacing w:after="80" w:line="264"/>
      </w:pPr>
      <w:r>
        <w:rPr>
          <w:rFonts w:ascii="Georgia" w:cs="Georgia" w:eastAsia="Georgia" w:hAnsi="Georgia"/>
        </w:rPr>
        <w:t xml:space="preserve">Laptops or tablets for research</w:t>
      </w:r>
    </w:p>
    <w:p>
      <w:pPr>
        <w:pStyle w:val="ListParagraph"/>
        <w:numPr>
          <w:ilvl w:val="0"/>
          <w:numId w:val="3"/>
        </w:numPr>
        <w:spacing w:after="80" w:line="264"/>
      </w:pPr>
      <w:r>
        <w:rPr>
          <w:rFonts w:ascii="Georgia" w:cs="Georgia" w:eastAsia="Georgia" w:hAnsi="Georgia"/>
        </w:rPr>
        <w:t xml:space="preserve">Printed capture sheets (this page) per group</w:t>
      </w:r>
    </w:p>
    <w:p>
      <w:pPr>
        <w:pStyle w:val="ListParagraph"/>
        <w:numPr>
          <w:ilvl w:val="0"/>
          <w:numId w:val="3"/>
        </w:numPr>
        <w:spacing w:after="80" w:line="264"/>
      </w:pPr>
      <w:r>
        <w:rPr>
          <w:rFonts w:ascii="Georgia" w:cs="Georgia" w:eastAsia="Georgia" w:hAnsi="Georgia"/>
        </w:rPr>
        <w:t xml:space="preserve">Industry reports and market data, gathered in advance</w:t>
      </w:r>
    </w:p>
    <w:p>
      <w:pPr>
        <w:pBdr>
          <w:top w:val="single" w:color="D9D9D9" w:sz="4" w:space="6"/>
        </w:pBdr>
        <w:spacing w:after="0" w:before="400"/>
      </w:pP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Get the full toolkit, updated and editable, at 58nights.com/impact.</w:t>
      </w:r>
    </w:p>
    <w:sectPr>
      <w:headerReference w:type="default" r:id="rId7"/>
      <w:footerReference w:type="default" r:id="rId8"/>
      <w:pgSz w:w="12240" w:h="15840" w:orient="portrait"/>
      <w:pgMar w:top="1240" w:right="1440" w:bottom="12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4"/>
      </w:pBdr>
      <w:tabs>
        <w:tab w:val="right" w:pos="9026"/>
      </w:tabs>
    </w:pPr>
    <w:r>
      <w:rPr>
        <w:rFonts w:ascii="Arial" w:cs="Arial" w:eastAsia="Arial" w:hAnsi="Arial"/>
        <w:color w:val="A6A6A6"/>
        <w:sz w:val="15"/>
        <w:szCs w:val="15"/>
      </w:rPr>
      <w:t xml:space="preserve">From Small Firm, Big Impact by Adam Mattis  ·  v1.0 — June 2026</w:t>
    </w:r>
    <w:r>
      <w:rPr>
        <w:rFonts w:ascii="Arial" w:cs="Arial" w:eastAsia="Arial" w:hAnsi="Arial"/>
        <w:color w:val="A6A6A6"/>
        <w:sz w:val="15"/>
        <w:szCs w:val="15"/>
      </w:rPr>
      <w:t xml:space="preserve">	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9D9D9" w:sz="4" w:space="4"/>
      </w:pBdr>
      <w:tabs>
        <w:tab w:val="right" w:pos="9026"/>
      </w:tabs>
    </w:pPr>
    <w:r>
      <w:rPr>
        <w:rFonts w:ascii="Arial" w:cs="Arial" w:eastAsia="Arial" w:hAnsi="Arial"/>
        <w:b/>
        <w:bCs/>
        <w:color w:val="595959"/>
        <w:spacing w:val="30"/>
        <w:sz w:val="15"/>
        <w:szCs w:val="15"/>
      </w:rPr>
      <w:t xml:space="preserve">SMALL FIRM, BIG IMPACT</w:t>
    </w:r>
    <w:r>
      <w:rPr>
        <w:rFonts w:ascii="Arial" w:cs="Arial" w:eastAsia="Arial" w:hAnsi="Arial"/>
        <w:color w:val="1F3A5F"/>
        <w:spacing w:val="30"/>
        <w:sz w:val="15"/>
        <w:szCs w:val="15"/>
      </w:rPr>
      <w:t xml:space="preserve">	58NIGHTS.COM/IMPACT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PESTEL Analysis Workshop — Small Firm, Big Impact</dc:title>
  <dc:creator>Adam Mattis</dc:creator>
  <cp:lastModifiedBy>Un-named</cp:lastModifiedBy>
  <cp:revision>1</cp:revision>
  <dcterms:created xsi:type="dcterms:W3CDTF">2026-06-11T17:31:47.930Z</dcterms:created>
  <dcterms:modified xsi:type="dcterms:W3CDTF">2026-06-11T17:31:47.930Z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