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20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Five Forces Workshop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 facilitator's run-sheet for Porter's Five Forces: understanding where the structural pressure on your margins comes from, and what to do about it.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OBJECTIVES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Analyze the competitive forces within the industry or market.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Identify opportunities and threats for the organization.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Develop strategies to gain a competitive advantage.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AGENDA (FULL DAY, ~6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060"/>
        <w:gridCol w:w="470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TIME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SEGMENT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HAPPENS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Introduction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Welcome, objectives, why industry dynamics decide margins.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Five Forces overview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Rivalry among existing competitors; threat of new entrants; bargaining power of buyers; bargaining power of suppliers; threat of substitutes.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Industry overview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Present the industry data, trends, and dynamics gathered in advance.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formation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Five groups — one force each, with a mix of perspectives.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90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Force analysis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Each group assesses its force: market concentration, barriers to entry, buyer and supplier power, substitutes. Industry reports and competitor information available in the room.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presentations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Each group presents its force with evidence, not impressions.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Discussion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How the forces interact; where the structural pressure on margin actually comes from.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Connect to SWOT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Map the force analysis onto strengths, weaknesses, opportunities, threats.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Strategy development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Where can we change our position relative to a force, rather than just endure it?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20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Action planning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Specific actions, owners, timelines.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Close and next steps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Takeaways; revisit the analysis as industry dynamics change.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CAPTURE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FORCE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STRENGTH (1–5)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EVIDENCE AND IMPLICATIONS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Rivalry among competitors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Threat of new entrants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Buyer power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Supplier power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Threat of substitutes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MATERIALS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Whiteboards or presentation tools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Industry reports, competitor information, market data — gathered in advance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Printed capture sheets (this page) per group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Forces Workshop — Small Firm, Big Impact</dc:title>
  <dc:creator>Adam Mattis</dc:creator>
  <cp:lastModifiedBy>Un-named</cp:lastModifiedBy>
  <cp:revision>1</cp:revision>
  <dcterms:created xsi:type="dcterms:W3CDTF">2026-06-11T17:31:47.948Z</dcterms:created>
  <dcterms:modified xsi:type="dcterms:W3CDTF">2026-06-11T17:31:47.948Z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