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3A5F"/>
          <w:spacing w:val="30"/>
          <w:sz w:val="16"/>
          <w:szCs w:val="16"/>
        </w:rPr>
        <w:t xml:space="preserve">THE TOOLKIT  ·  NO. 22</w:t>
      </w:r>
    </w:p>
    <w:p>
      <w:pPr>
        <w:pBdr>
          <w:bottom w:val="single" w:color="1F3A5F" w:sz="12" w:space="6"/>
        </w:pBdr>
        <w:spacing w:after="80"/>
      </w:pPr>
      <w:r>
        <w:rPr>
          <w:rFonts w:ascii="Georgia" w:cs="Georgia" w:eastAsia="Georgia" w:hAnsi="Georgia"/>
          <w:b/>
          <w:bCs/>
          <w:sz w:val="48"/>
          <w:szCs w:val="48"/>
        </w:rPr>
        <w:t xml:space="preserve">Gap Analysis Workshop</w:t>
      </w:r>
    </w:p>
    <w:p>
      <w:pPr>
        <w:spacing w:after="24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Use it, adapt it, make it yours. This is a starting point, not a prescription.</w:t>
      </w:r>
    </w:p>
    <w:p>
      <w:pPr>
        <w:spacing w:after="200" w:line="276"/>
      </w:pPr>
      <w:r>
        <w:rPr>
          <w:rFonts w:ascii="Georgia" w:cs="Georgia" w:eastAsia="Georgia" w:hAnsi="Georgia"/>
          <w:sz w:val="22"/>
          <w:szCs w:val="22"/>
        </w:rPr>
        <w:t xml:space="preserve">A facilitator's run-sheet for measuring the distance between where the organization is and where it intends to be — and deciding which gaps deserve the effort.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01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OBJECTIVES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Assess the gaps between the current state and the desired future state.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Identify the areas for improvement that matter most.</w:t>
      </w:r>
    </w:p>
    <w:p>
      <w:pPr>
        <w:pStyle w:val="ListParagraph"/>
        <w:numPr>
          <w:ilvl w:val="0"/>
          <w:numId w:val="2"/>
        </w:numPr>
        <w:spacing w:after="80" w:line="264"/>
      </w:pPr>
      <w:r>
        <w:rPr>
          <w:rFonts w:ascii="Georgia" w:cs="Georgia" w:eastAsia="Georgia" w:hAnsi="Georgia"/>
        </w:rPr>
        <w:t xml:space="preserve">Turn the gaps into a prioritized, owned action plan.</w:t>
      </w:r>
    </w:p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02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AGENDA (FULL DAY, ~5.5 HOURS)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060"/>
        <w:gridCol w:w="470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TIME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SEGMENT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WHAT HAPPENS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Introduction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Welcome, objectives, how gap analysis feeds strategic planning.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Method overview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Current state, desired future state, and the gap between them.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Set the destination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Review strategic objectives; agree what the desired future state actually is, in measurable terms.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Group formation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Groups by organizational aspect: operations, technology, people, market position.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90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Current-state assessment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Each group assesses its aspect with data, not impressions: strengths, weaknesses, and the distance to the desired state.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30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Group presentations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Present the current state and the gaps; insist on evidence.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45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Gap analysis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Which gaps actually block the strategic objectives, and which are merely visible.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60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Prioritization and action planning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Rank gaps by impact and feasibility; build action plans for the critical few, with owners and timelines.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Integration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Connect the action plans to the strategic planning cycle so they survive the workshop.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15 min</w:t>
            </w:r>
          </w:p>
        </w:tc>
        <w:tc>
          <w:tcPr>
            <w:tcW w:type="dxa" w:w="3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sz w:val="20"/>
                <w:szCs w:val="20"/>
              </w:rPr>
              <w:t xml:space="preserve">Close and next steps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Georgia" w:cs="Georgia" w:eastAsia="Georgia" w:hAnsi="Georgia"/>
                <w:sz w:val="20"/>
                <w:szCs w:val="20"/>
              </w:rPr>
              <w:t xml:space="preserve">Takeaways; set the date for the follow-up review.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03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CAPTURE 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2600"/>
        <w:gridCol w:w="2600"/>
        <w:gridCol w:w="1860"/>
      </w:tblGrid>
      <w:tr>
        <w:trPr>
          <w:tblHeader/>
        </w:trP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ASPECT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CURRENT STATE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DESIRED STATE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15"/>
                <w:sz w:val="17"/>
                <w:szCs w:val="17"/>
              </w:rPr>
              <w:t xml:space="preserve">GAP PRIORITY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0" w:before="120"/>
            </w:pPr>
            <w:r>
              <w:rPr>
                <w:rFonts w:ascii="Georgia" w:cs="Georgia" w:eastAsia="Georgia" w:hAnsi="Georgia"/>
                <w:sz w:val="20"/>
                <w:szCs w:val="20"/>
              </w:rPr>
              <w:t xml:space="preserve"> </w:t>
            </w:r>
          </w:p>
        </w:tc>
      </w:tr>
    </w:tbl>
    <w:p>
      <w:pPr>
        <w:keepNext/>
        <w:pBdr>
          <w:bottom w:val="single" w:color="D9D9D9" w:sz="4" w:space="4"/>
        </w:pBdr>
        <w:spacing w:after="120" w:before="32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04</w:t>
      </w:r>
      <w:r>
        <w:rPr>
          <w:rFonts w:ascii="Arial" w:cs="Arial" w:eastAsia="Arial" w:hAnsi="Arial"/>
          <w:sz w:val="24"/>
          <w:szCs w:val="24"/>
        </w:rPr>
        <w:t xml:space="preserve">   </w:t>
      </w: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MATERIALS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Organizational strategic objectives and mission statement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Relevant performance data per aspect, gathered in advance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Whiteboards or presentation tools</w:t>
      </w:r>
    </w:p>
    <w:p>
      <w:pPr>
        <w:pStyle w:val="ListParagraph"/>
        <w:numPr>
          <w:ilvl w:val="0"/>
          <w:numId w:val="3"/>
        </w:numPr>
        <w:spacing w:after="80" w:line="264"/>
      </w:pPr>
      <w:r>
        <w:rPr>
          <w:rFonts w:ascii="Georgia" w:cs="Georgia" w:eastAsia="Georgia" w:hAnsi="Georgia"/>
        </w:rPr>
        <w:t xml:space="preserve">Printed capture sheets (this page) per group</w:t>
      </w:r>
    </w:p>
    <w:p>
      <w:pPr>
        <w:pBdr>
          <w:top w:val="single" w:color="D9D9D9" w:sz="4" w:space="6"/>
        </w:pBdr>
        <w:spacing w:after="0" w:before="400"/>
      </w:pPr>
      <w:r>
        <w:rPr>
          <w:rFonts w:ascii="Georgia" w:cs="Georgia" w:eastAsia="Georgia" w:hAnsi="Georgia"/>
          <w:i/>
          <w:iCs/>
          <w:color w:val="595959"/>
          <w:sz w:val="19"/>
          <w:szCs w:val="19"/>
        </w:rPr>
        <w:t xml:space="preserve">Get the full toolkit, updated and editable, at 58nights.com/impact.</w:t>
      </w:r>
    </w:p>
    <w:sectPr>
      <w:headerReference w:type="default" r:id="rId7"/>
      <w:footerReference w:type="default" r:id="rId8"/>
      <w:pgSz w:w="12240" w:h="15840" w:orient="portrait"/>
      <w:pgMar w:top="1240" w:right="1440" w:bottom="12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4"/>
      </w:pBdr>
      <w:tabs>
        <w:tab w:val="right" w:pos="9026"/>
      </w:tabs>
    </w:pPr>
    <w:r>
      <w:rPr>
        <w:rFonts w:ascii="Arial" w:cs="Arial" w:eastAsia="Arial" w:hAnsi="Arial"/>
        <w:color w:val="A6A6A6"/>
        <w:sz w:val="15"/>
        <w:szCs w:val="15"/>
      </w:rPr>
      <w:t xml:space="preserve">From Small Firm, Big Impact by Adam Mattis  ·  v1.0 — June 2026</w:t>
    </w:r>
    <w:r>
      <w:rPr>
        <w:rFonts w:ascii="Arial" w:cs="Arial" w:eastAsia="Arial" w:hAnsi="Arial"/>
        <w:color w:val="A6A6A6"/>
        <w:sz w:val="15"/>
        <w:szCs w:val="15"/>
      </w:rPr>
      <w:t xml:space="preserve">	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D9D9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595959"/>
        <w:spacing w:val="30"/>
        <w:sz w:val="15"/>
        <w:szCs w:val="15"/>
      </w:rPr>
      <w:t xml:space="preserve">SMALL FIRM, BIG IMPACT</w:t>
    </w:r>
    <w:r>
      <w:rPr>
        <w:rFonts w:ascii="Arial" w:cs="Arial" w:eastAsia="Arial" w:hAnsi="Arial"/>
        <w:color w:val="1F3A5F"/>
        <w:spacing w:val="30"/>
        <w:sz w:val="15"/>
        <w:szCs w:val="15"/>
      </w:rPr>
      <w:t xml:space="preserve">	58NIGHTS.COM/IMPACT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 Analysis Workshop — Small Firm, Big Impact</dc:title>
  <dc:creator>Adam Mattis</dc:creator>
  <cp:lastModifiedBy>Un-named</cp:lastModifiedBy>
  <cp:revision>1</cp:revision>
  <dcterms:created xsi:type="dcterms:W3CDTF">2026-06-11T17:31:47.968Z</dcterms:created>
  <dcterms:modified xsi:type="dcterms:W3CDTF">2026-06-11T17:31:47.969Z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