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F3A5F"/>
          <w:spacing w:val="30"/>
          <w:sz w:val="16"/>
          <w:szCs w:val="16"/>
        </w:rPr>
        <w:t xml:space="preserve">THE TOOLKIT  ·  NO. 24</w:t>
      </w:r>
    </w:p>
    <w:p>
      <w:pPr>
        <w:pBdr>
          <w:bottom w:val="single" w:color="1F3A5F" w:sz="12" w:space="6"/>
        </w:pBdr>
        <w:spacing w:after="80"/>
      </w:pPr>
      <w:r>
        <w:rPr>
          <w:rFonts w:ascii="Georgia" w:cs="Georgia" w:eastAsia="Georgia" w:hAnsi="Georgia"/>
          <w:b/>
          <w:bCs/>
          <w:sz w:val="48"/>
          <w:szCs w:val="48"/>
        </w:rPr>
        <w:t xml:space="preserve">The Next Wave: Online Appendix</w:t>
      </w:r>
    </w:p>
    <w:p>
      <w:pPr>
        <w:spacing w:after="240"/>
      </w:pPr>
      <w:r>
        <w:rPr>
          <w:rFonts w:ascii="Georgia" w:cs="Georgia" w:eastAsia="Georgia" w:hAnsi="Georgia"/>
          <w:i/>
          <w:iCs/>
          <w:color w:val="595959"/>
          <w:sz w:val="19"/>
          <w:szCs w:val="19"/>
        </w:rPr>
        <w:t xml:space="preserve">The online appendix for Chapter 14. Figures current as of June 2026, updated as the estimates move.</w:t>
      </w:r>
    </w:p>
    <w:p>
      <w:pPr>
        <w:spacing w:after="200" w:line="276"/>
      </w:pPr>
      <w:r>
        <w:rPr>
          <w:rFonts w:ascii="Georgia" w:cs="Georgia" w:eastAsia="Georgia" w:hAnsi="Georgia"/>
          <w:sz w:val="22"/>
          <w:szCs w:val="22"/>
        </w:rPr>
        <w:t xml:space="preserve">Chapter 14 makes an argument about humanoid robotics that depends on numbers, and numbers in this category move faster than a print run. This page is where they live. Every figure carries a date — if the date is old, assume the number is too.</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THE MARKET PROJECTIONS</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These are numbers large enough to make a CFO want a line item and uncertain enough to make that line item dangerous. Treat them as a weather report, not a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260"/>
        <w:gridCol w:w="1900"/>
      </w:tblGrid>
      <w:tr>
        <w:trPr>
          <w:tblHeader/>
        </w:trPr>
        <w:tc>
          <w:tcPr>
            <w:tcW w:type="dxa" w:w="22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SOURCE</w:t>
            </w:r>
          </w:p>
        </w:tc>
        <w:tc>
          <w:tcPr>
            <w:tcW w:type="dxa" w:w="52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PROJECTION</w:t>
            </w:r>
          </w:p>
        </w:tc>
        <w:tc>
          <w:tcPr>
            <w:tcW w:type="dxa" w:w="19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AS OF</w:t>
            </w:r>
          </w:p>
        </w:tc>
      </w:tr>
      <w:tr>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sz w:val="20"/>
                <w:szCs w:val="20"/>
              </w:rPr>
              <w:t xml:space="preserve">Goldman Sachs</w:t>
            </w:r>
          </w:p>
        </w:tc>
        <w:tc>
          <w:tcPr>
            <w:tcW w:type="dxa" w:w="52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Humanoid robot TAM of $38 billion by 2035 — raised more than sixfold from a prior $6 billion estimate; shipment forecast raised 4x to 1.4 million units.</w:t>
            </w:r>
          </w:p>
        </w:tc>
        <w:tc>
          <w:tcPr>
            <w:tcW w:type="dxa" w:w="1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June 2026</w:t>
            </w:r>
          </w:p>
        </w:tc>
      </w:tr>
      <w:tr>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sz w:val="20"/>
                <w:szCs w:val="20"/>
              </w:rPr>
              <w:t xml:space="preserve">Goldman Sachs</w:t>
            </w:r>
          </w:p>
        </w:tc>
        <w:tc>
          <w:tcPr>
            <w:tcW w:type="dxa" w:w="52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Unit manufacturing cost down ~40% in a year: from $50,000–$250,000 to $30,000–$150,000 per unit.</w:t>
            </w:r>
          </w:p>
        </w:tc>
        <w:tc>
          <w:tcPr>
            <w:tcW w:type="dxa" w:w="1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June 2026</w:t>
            </w:r>
          </w:p>
        </w:tc>
      </w:tr>
      <w:tr>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sz w:val="20"/>
                <w:szCs w:val="20"/>
              </w:rPr>
              <w:t xml:space="preserve">Morgan Stanley</w:t>
            </w:r>
          </w:p>
        </w:tc>
        <w:tc>
          <w:tcPr>
            <w:tcW w:type="dxa" w:w="52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$5 trillion humanoid market by 2050. Included for contrast — the gap between the two houses is itself the lesson.</w:t>
            </w:r>
          </w:p>
        </w:tc>
        <w:tc>
          <w:tcPr>
            <w:tcW w:type="dxa" w:w="19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sz w:val="20"/>
                <w:szCs w:val="20"/>
              </w:rPr>
              <w:t xml:space="preserve">June 2026</w:t>
            </w:r>
          </w:p>
        </w:tc>
      </w:tr>
    </w:tbl>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THE BIPEDAL LOGISTICS MOVER</w:t>
      </w:r>
    </w:p>
    <w:p>
      <w:pPr>
        <w:spacing w:after="100"/>
      </w:pPr>
      <w:r>
        <w:rPr>
          <w:rFonts w:ascii="Georgia" w:cs="Georgia" w:eastAsia="Georgia" w:hAnsi="Georgia"/>
          <w:b/>
          <w:bCs/>
        </w:rPr>
        <w:t xml:space="preserve">Example: </w:t>
      </w:r>
      <w:r>
        <w:rPr>
          <w:rFonts w:ascii="Georgia" w:cs="Georgia" w:eastAsia="Georgia" w:hAnsi="Georgia"/>
        </w:rPr>
        <w:t xml:space="preserve">Agility Robotics' Digit, deployed at GXO and Amazon facilities.</w:t>
      </w:r>
    </w:p>
    <w:p>
      <w:pPr>
        <w:spacing w:after="100"/>
      </w:pPr>
      <w:r>
        <w:rPr>
          <w:rFonts w:ascii="Georgia" w:cs="Georgia" w:eastAsia="Georgia" w:hAnsi="Georgia"/>
          <w:b/>
          <w:bCs/>
        </w:rPr>
        <w:t xml:space="preserve">Track record: </w:t>
      </w:r>
      <w:r>
        <w:rPr>
          <w:rFonts w:ascii="Georgia" w:cs="Georgia" w:eastAsia="Georgia" w:hAnsi="Georgia"/>
        </w:rPr>
        <w:t xml:space="preserve">100,000+ totes moved at a single GXO site by late 2025; industry-first multi-year robots-as-a-service agreement with GXO.</w:t>
      </w:r>
    </w:p>
    <w:p>
      <w:pPr>
        <w:spacing w:after="100"/>
      </w:pPr>
      <w:r>
        <w:rPr>
          <w:rFonts w:ascii="Georgia" w:cs="Georgia" w:eastAsia="Georgia" w:hAnsi="Georgia"/>
          <w:b/>
          <w:bCs/>
        </w:rPr>
        <w:t xml:space="preserve">The going rate: </w:t>
      </w:r>
      <w:r>
        <w:rPr>
          <w:rFonts w:ascii="Georgia" w:cs="Georgia" w:eastAsia="Georgia" w:hAnsi="Georgia"/>
        </w:rPr>
        <w:t xml:space="preserve">Sold as a service by the robot-hour. Agility's stated rate is $30 per robot-hour; industry-reported ranges run $10–30. Specific contract terms remain confidential.</w:t>
      </w:r>
    </w:p>
    <w:p>
      <w:pPr>
        <w:spacing w:after="100"/>
      </w:pPr>
      <w:r>
        <w:rPr>
          <w:rFonts w:ascii="Georgia" w:cs="Georgia" w:eastAsia="Georgia" w:hAnsi="Georgia"/>
          <w:b/>
          <w:bCs/>
        </w:rPr>
        <w:t xml:space="preserve">Budget line: </w:t>
      </w:r>
      <w:r>
        <w:rPr>
          <w:rFonts w:ascii="Georgia" w:cs="Georgia" w:eastAsia="Georgia" w:hAnsi="Georgia"/>
        </w:rPr>
        <w:t xml:space="preserve">Logistics / material handling (operating expense), not IT capital.</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THE FIXED-STATION MANIPULATOR IN HUMAN FORM</w:t>
      </w:r>
    </w:p>
    <w:p>
      <w:pPr>
        <w:spacing w:after="100"/>
      </w:pPr>
      <w:r>
        <w:rPr>
          <w:rFonts w:ascii="Georgia" w:cs="Georgia" w:eastAsia="Georgia" w:hAnsi="Georgia"/>
          <w:b/>
          <w:bCs/>
        </w:rPr>
        <w:t xml:space="preserve">Examples: </w:t>
      </w:r>
      <w:r>
        <w:rPr>
          <w:rFonts w:ascii="Georgia" w:cs="Georgia" w:eastAsia="Georgia" w:hAnsi="Georgia"/>
        </w:rPr>
        <w:t xml:space="preserve">Figure 02 on the BMW line at Spartanburg; Apptronik's Apollo in testing at Mercedes.</w:t>
      </w:r>
    </w:p>
    <w:p>
      <w:pPr>
        <w:spacing w:after="100"/>
      </w:pPr>
      <w:r>
        <w:rPr>
          <w:rFonts w:ascii="Georgia" w:cs="Georgia" w:eastAsia="Georgia" w:hAnsi="Georgia"/>
          <w:b/>
          <w:bCs/>
        </w:rPr>
        <w:t xml:space="preserve">The going rate: </w:t>
      </w:r>
      <w:r>
        <w:rPr>
          <w:rFonts w:ascii="Georgia" w:cs="Georgia" w:eastAsia="Georgia" w:hAnsi="Georgia"/>
        </w:rPr>
        <w:t xml:space="preserve">Priced against the automation capital that would otherwise buy a custom cell. No public per-unit pricing; the cost argument is that the station already fits a person, so a person-shaped machine drops in without rebuilding the line.</w:t>
      </w:r>
    </w:p>
    <w:p>
      <w:pPr>
        <w:spacing w:after="100"/>
      </w:pPr>
      <w:r>
        <w:rPr>
          <w:rFonts w:ascii="Georgia" w:cs="Georgia" w:eastAsia="Georgia" w:hAnsi="Georgia"/>
          <w:b/>
          <w:bCs/>
        </w:rPr>
        <w:t xml:space="preserve">Budget line: </w:t>
      </w:r>
      <w:r>
        <w:rPr>
          <w:rFonts w:ascii="Georgia" w:cs="Georgia" w:eastAsia="Georgia" w:hAnsi="Georgia"/>
        </w:rPr>
        <w:t xml:space="preserve">Plant engineering / manufacturing automation capital.</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THE MOBILE MANIPULATOR FOR UNSTRUCTURED ENVIRONMENTS</w:t>
      </w:r>
    </w:p>
    <w:p>
      <w:pPr>
        <w:spacing w:after="100"/>
      </w:pPr>
      <w:r>
        <w:rPr>
          <w:rFonts w:ascii="Georgia" w:cs="Georgia" w:eastAsia="Georgia" w:hAnsi="Georgia"/>
          <w:b/>
          <w:bCs/>
        </w:rPr>
        <w:t xml:space="preserve">Example: </w:t>
      </w:r>
      <w:r>
        <w:rPr>
          <w:rFonts w:ascii="Georgia" w:cs="Georgia" w:eastAsia="Georgia" w:hAnsi="Georgia"/>
        </w:rPr>
        <w:t xml:space="preserve">The laundry-folding Figure 03 demo, and the home-robot pitch generally.</w:t>
      </w:r>
    </w:p>
    <w:p>
      <w:pPr>
        <w:spacing w:after="100"/>
      </w:pPr>
      <w:r>
        <w:rPr>
          <w:rFonts w:ascii="Georgia" w:cs="Georgia" w:eastAsia="Georgia" w:hAnsi="Georgia"/>
          <w:b/>
          <w:bCs/>
        </w:rPr>
        <w:t xml:space="preserve">The going rate: </w:t>
      </w:r>
      <w:r>
        <w:rPr>
          <w:rFonts w:ascii="Georgia" w:cs="Georgia" w:eastAsia="Georgia" w:hAnsi="Georgia"/>
        </w:rPr>
        <w:t xml:space="preserve">There isn't one. As of this writing it is a research program with impressive demos, not a deployable product. No enterprise buyer, no budget line, no procurement path yet.</w:t>
      </w:r>
    </w:p>
    <w:p>
      <w:pPr>
        <w:keepNext/>
        <w:pBdr>
          <w:bottom w:val="single" w:color="D9D9D9" w:sz="4" w:space="4"/>
        </w:pBdr>
        <w:spacing w:after="120" w:before="320"/>
      </w:pPr>
      <w:r>
        <w:rPr>
          <w:rFonts w:ascii="Arial" w:cs="Arial" w:eastAsia="Arial" w:hAnsi="Arial"/>
          <w:b/>
          <w:bCs/>
          <w:color w:val="1F3A5F"/>
          <w:sz w:val="24"/>
          <w:szCs w:val="24"/>
        </w:rPr>
        <w:t xml:space="preserve">05</w:t>
      </w:r>
      <w:r>
        <w:rPr>
          <w:rFonts w:ascii="Arial" w:cs="Arial" w:eastAsia="Arial" w:hAnsi="Arial"/>
          <w:sz w:val="24"/>
          <w:szCs w:val="24"/>
        </w:rPr>
        <w:t xml:space="preserve">   </w:t>
      </w:r>
      <w:r>
        <w:rPr>
          <w:rFonts w:ascii="Arial" w:cs="Arial" w:eastAsia="Arial" w:hAnsi="Arial"/>
          <w:b/>
          <w:bCs/>
          <w:spacing w:val="20"/>
          <w:sz w:val="22"/>
          <w:szCs w:val="22"/>
        </w:rPr>
        <w:t xml:space="preserve">THE TELEOPERATED ROBOT WEARING AUTONOMY'S CLOTHING</w:t>
      </w:r>
    </w:p>
    <w:p>
      <w:pPr>
        <w:spacing w:after="100"/>
      </w:pPr>
      <w:r>
        <w:rPr>
          <w:rFonts w:ascii="Georgia" w:cs="Georgia" w:eastAsia="Georgia" w:hAnsi="Georgia"/>
          <w:b/>
          <w:bCs/>
        </w:rPr>
        <w:t xml:space="preserve">Example: </w:t>
      </w:r>
      <w:r>
        <w:rPr>
          <w:rFonts w:ascii="Georgia" w:cs="Georgia" w:eastAsia="Georgia" w:hAnsi="Georgia"/>
        </w:rPr>
        <w:t xml:space="preserve">1X NEO. Current pricing: $20,000 outright (with a $200 deposit for priority 2026 delivery) or $499/month subscription — roughly $23,950 over four years.</w:t>
      </w:r>
    </w:p>
    <w:p>
      <w:pPr>
        <w:spacing w:after="100"/>
      </w:pPr>
      <w:r>
        <w:rPr>
          <w:rFonts w:ascii="Georgia" w:cs="Georgia" w:eastAsia="Georgia" w:hAnsi="Georgia"/>
          <w:b/>
          <w:bCs/>
        </w:rPr>
        <w:t xml:space="preserve">What you are buying: </w:t>
      </w:r>
      <w:r>
        <w:rPr>
          <w:rFonts w:ascii="Georgia" w:cs="Georgia" w:eastAsia="Georgia" w:hAnsi="Georgia"/>
        </w:rPr>
        <w:t xml:space="preserve">A remote-labor service with a hardware front end. Read the contract for who is operating the machine and when. The honest pilot measures how much the remote human is doing and whether that share is genuinely falling month over month.</w:t>
      </w:r>
    </w:p>
    <w:p>
      <w:pPr>
        <w:keepNext/>
        <w:pBdr>
          <w:bottom w:val="single" w:color="D9D9D9" w:sz="4" w:space="4"/>
        </w:pBdr>
        <w:spacing w:after="120" w:before="320"/>
      </w:pPr>
      <w:r>
        <w:rPr>
          <w:rFonts w:ascii="Arial" w:cs="Arial" w:eastAsia="Arial" w:hAnsi="Arial"/>
          <w:b/>
          <w:bCs/>
          <w:color w:val="1F3A5F"/>
          <w:sz w:val="24"/>
          <w:szCs w:val="24"/>
        </w:rPr>
        <w:t xml:space="preserve">06</w:t>
      </w:r>
      <w:r>
        <w:rPr>
          <w:rFonts w:ascii="Arial" w:cs="Arial" w:eastAsia="Arial" w:hAnsi="Arial"/>
          <w:sz w:val="24"/>
          <w:szCs w:val="24"/>
        </w:rPr>
        <w:t xml:space="preserve">   </w:t>
      </w:r>
      <w:r>
        <w:rPr>
          <w:rFonts w:ascii="Arial" w:cs="Arial" w:eastAsia="Arial" w:hAnsi="Arial"/>
          <w:b/>
          <w:bCs/>
          <w:spacing w:val="20"/>
          <w:sz w:val="22"/>
          <w:szCs w:val="22"/>
        </w:rPr>
        <w:t xml:space="preserve">HOW TO USE THESE NUMBERS</w:t>
      </w:r>
    </w:p>
    <w:p>
      <w:pPr>
        <w:pStyle w:val="ListParagraph"/>
        <w:numPr>
          <w:ilvl w:val="0"/>
          <w:numId w:val="2"/>
        </w:numPr>
        <w:spacing w:after="80" w:line="264"/>
      </w:pPr>
      <w:r>
        <w:rPr>
          <w:rFonts w:ascii="Georgia" w:cs="Georgia" w:eastAsia="Georgia" w:hAnsi="Georgia"/>
        </w:rPr>
        <w:t xml:space="preserve">Date-check first. Anything older than two quarters, re-verify before it goes in a client deliverable.</w:t>
      </w:r>
    </w:p>
    <w:p>
      <w:pPr>
        <w:pStyle w:val="ListParagraph"/>
        <w:numPr>
          <w:ilvl w:val="0"/>
          <w:numId w:val="2"/>
        </w:numPr>
        <w:spacing w:after="80" w:line="264"/>
      </w:pPr>
      <w:r>
        <w:rPr>
          <w:rFonts w:ascii="Georgia" w:cs="Georgia" w:eastAsia="Georgia" w:hAnsi="Georgia"/>
        </w:rPr>
        <w:t xml:space="preserve">Match the category before you match the number. The robot-hour rate for a logistics mover tells you nothing about a fixed-station manipulator's capital case.</w:t>
      </w:r>
    </w:p>
    <w:p>
      <w:pPr>
        <w:pStyle w:val="ListParagraph"/>
        <w:numPr>
          <w:ilvl w:val="0"/>
          <w:numId w:val="2"/>
        </w:numPr>
        <w:spacing w:after="80" w:line="264"/>
      </w:pPr>
      <w:r>
        <w:rPr>
          <w:rFonts w:ascii="Georgia" w:cs="Georgia" w:eastAsia="Georgia" w:hAnsi="Georgia"/>
        </w:rPr>
        <w:t xml:space="preserve">Price the labor arrangement, not the demo. If a human is in the loop, cost it like staffing, not like autonomy.</w:t>
      </w:r>
    </w:p>
    <w:p>
      <w:pPr>
        <w:pBdr>
          <w:top w:val="single" w:color="D9D9D9" w:sz="4" w:space="6"/>
        </w:pBdr>
        <w:spacing w:after="0" w:before="400"/>
      </w:pPr>
      <w:r>
        <w:rPr>
          <w:rFonts w:ascii="Georgia" w:cs="Georgia" w:eastAsia="Georgia" w:hAnsi="Georgia"/>
          <w:i/>
          <w:iCs/>
          <w:color w:val="595959"/>
          <w:sz w:val="19"/>
          <w:szCs w:val="19"/>
        </w:rPr>
        <w:t xml:space="preserve">Sources and the full argument live in the robotics series at AdamMattis.com. The full toolkit lives at 58nights.com/impact.</w:t>
      </w:r>
    </w:p>
    <w:sectPr>
      <w:headerReference w:type="default" r:id="rId7"/>
      <w:footerReference w:type="default" r:id="rId8"/>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Wave: Online Appendix — Small Firm, Big Impact</dc:title>
  <dc:creator>Adam Mattis</dc:creator>
  <cp:lastModifiedBy>Un-named</cp:lastModifiedBy>
  <cp:revision>1</cp:revision>
  <dcterms:created xsi:type="dcterms:W3CDTF">2026-06-11T17:31:47.992Z</dcterms:created>
  <dcterms:modified xsi:type="dcterms:W3CDTF">2026-06-11T17:31:47.992Z</dcterms:modified>
</cp:coreProperties>
</file>

<file path=docProps/custom.xml><?xml version="1.0" encoding="utf-8"?>
<Properties xmlns="http://schemas.openxmlformats.org/officeDocument/2006/custom-properties" xmlns:vt="http://schemas.openxmlformats.org/officeDocument/2006/docPropsVTypes"/>
</file>