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52606D"/>
          <w:spacing w:val="24"/>
          <w:sz w:val="15"/>
          <w:szCs w:val="15"/>
        </w:rPr>
        <w:t xml:space="preserve">THE PERFORMANCE MACHINE  ·  ONLINE TOOLKIT  ·  TOOL 1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F2933"/>
          <w:sz w:val="44"/>
          <w:szCs w:val="44"/>
        </w:rPr>
        <w:t xml:space="preserve">Legal Current-Status Page</w:t>
      </w:r>
    </w:p>
    <w:p>
      <w:pPr>
        <w:pBdr>
          <w:bottom w:val="single" w:color="9A3412" w:sz="8" w:space="6"/>
        </w:pBdr>
        <w:spacing w:after="160"/>
      </w:pPr>
      <w:r>
        <w:rPr>
          <w:rFonts w:ascii="Arial" w:cs="Arial" w:eastAsia="Arial" w:hAnsi="Arial"/>
          <w:b/>
          <w:bCs/>
          <w:color w:val="9A3412"/>
          <w:sz w:val="19"/>
          <w:szCs w:val="19"/>
        </w:rPr>
        <w:t xml:space="preserve">Chapter 4 · for everyone · a living page, maintained as the law moves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This is the fastest-moving material in the book. The page below is a snapshot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current as of mid-2026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; it is meant to be updated on the website, not frozen in print. Always confirm against primary sources before relying on it.</w:t>
      </w:r>
    </w:p>
    <w:p>
      <w:pPr>
        <w:pBdr>
          <w:left w:val="single" w:color="9A3412" w:sz="18" w:space="12"/>
        </w:pBdr>
        <w:shd w:fill="F6F5F2" w:val="clear"/>
        <w:spacing w:after="90"/>
        <w:ind w:left="360"/>
      </w:pPr>
      <w:r>
        <w:rPr>
          <w:rFonts w:ascii="Georgia" w:cs="Georgia" w:eastAsia="Georgia" w:hAnsi="Georgia"/>
          <w:b/>
          <w:bCs/>
          <w:i/>
          <w:iCs/>
          <w:color w:val="3E4C59"/>
          <w:sz w:val="21"/>
          <w:szCs w:val="21"/>
        </w:rPr>
        <w:t xml:space="preserve">Maintainer's note:</w:t>
      </w:r>
      <w:r>
        <w:rPr>
          <w:rFonts w:ascii="Georgia" w:cs="Georgia" w:eastAsia="Georgia" w:hAnsi="Georgia"/>
          <w:i/>
          <w:iCs/>
          <w:color w:val="3E4C59"/>
          <w:sz w:val="21"/>
          <w:szCs w:val="21"/>
        </w:rPr>
        <w:t xml:space="preserve"> revisit at least quarterly. The three highest-churn items are the US state count, the EU AI Act timeline, and the Mobley v. Workday docket.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United States: pay transparency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As of mid-2026: ~17 states plus the District of Columbia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have enacted pay-transparency laws (salary ranges in postings or on request). Counts vary 16–18 by tracker and by whether future-effective laws are included.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Massachusetts's posting requirement took effect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October 29, 2025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and covers promotions and transfers.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Several enacted laws phase in through 2027.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[Embed: live US map + effective-date table here.]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European Union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Pay Transparency Directive (2023/970)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member-state transposition deadline was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June 7, 2026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(most missed it; the requirements are coming regardless). Salary ranges to candidates; no pay-history questions; right to request average pay by sex for comparable work; gender pay-gap reporting from June 2027 (250+ employers, on 2026 data); joint pay assessment where an unexplained 5%+ gap is not remedied within six months.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AI Act (Regulation 2024/1689)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AI used in employment decisions (recruitment, promotion, task allocation, performance evaluation, termination) is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high-risk (Annex III)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. Deployer fines up to €15M or 3% of global turnover. Workplace emotion-recognition has been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prohibited since February 2, 2025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.</w:t>
      </w:r>
    </w:p>
    <w:p>
      <w:pPr>
        <w:pStyle w:val="ListParagraph"/>
        <w:numPr>
          <w:ilvl w:val="1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High-risk timeline (watch this):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a "Digital Omnibus" deferral to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December 2, 2027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was provisionally agreed in May 2026 (COREPER, May 13, 2026) but, as of mid-2026, had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not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yet received the final Parliament vote, Council adoption, or Official Journal publication. It takes legal effect only on OJ publication.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Confirm current status before advising.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US litigation to watch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Mobley v. Workday, Inc.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(N.D. Cal., No. 3:23-cv-00770-RFL): conditional certification of a nationwide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ADEA collective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granted May 16, 2025 (applicants 40+ since Sept 24, 2020); on March 6, 2026 the court rejected Workday's argument that the ADEA excludes job applicants. In active discovery as of mid-2026; a procedural posture, not a finding on the merits.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one sentence that ties it to the book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Every transparency law is, quietly, a performance-documentation law: the range becomes public, the placement does not, and the thing that justifies placement is the evidence you wrote down all year.</w:t>
      </w:r>
    </w:p>
    <w:p>
      <w:pPr>
        <w:spacing w:after="140"/>
        <w:jc w:val="left"/>
      </w:pPr>
      <w:r>
        <w:rPr>
          <w:rFonts w:ascii="Georgia" w:cs="Georgia" w:eastAsia="Georgia" w:hAnsi="Georgia"/>
          <w:i/>
          <w:iCs/>
          <w:color w:val="1F2933"/>
          <w:sz w:val="21"/>
          <w:szCs w:val="21"/>
        </w:rPr>
        <w:t xml:space="preserve">Not legal advice. Jurisdictions differ and dates move; route specifics to counsel.</w:t>
      </w:r>
    </w:p>
    <w:sectPr>
      <w:footerReference w:type="default" r:id="rId7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2D9" w:sz="4" w:space="4"/>
      </w:pBdr>
      <w:tabs>
        <w:tab w:val="right" w:pos="9720"/>
      </w:tabs>
    </w:pPr>
    <w:r>
      <w:rPr>
        <w:rFonts w:ascii="Arial" w:cs="Arial" w:eastAsia="Arial" w:hAnsi="Arial"/>
        <w:color w:val="52606D"/>
        <w:sz w:val="15"/>
        <w:szCs w:val="15"/>
      </w:rPr>
      <w:t xml:space="preserve">The Performance Machine · 58nights.com/performance</w:t>
    </w:r>
    <w:r>
      <w:rPr>
        <w:rFonts w:ascii="Arial" w:cs="Arial" w:eastAsia="Arial" w:hAnsi="Arial"/>
        <w:sz w:val="15"/>
        <w:szCs w:val="15"/>
      </w:rPr>
      <w:t xml:space="preserve">	</w:t>
    </w:r>
    <w:r>
      <w:rPr>
        <w:rFonts w:ascii="Arial" w:cs="Arial" w:eastAsia="Arial" w:hAnsi="Arial"/>
        <w:color w:val="52606D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  <w:rPr>
        <w:color w:val="9A3412"/>
      </w:rPr>
    </w:lvl>
    <w:lvl w:ilvl="1" w15:tentative="1">
      <w:start w:val="1"/>
      <w:numFmt w:val="bullet"/>
      <w:lvlText w:val="–"/>
      <w:lvlJc w:val="left"/>
      <w:pPr>
        <w:ind w:left="720" w:hanging="200"/>
      </w:pPr>
      <w:rPr>
        <w:color w:val="9A341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00" w:hanging="260"/>
      </w:pPr>
      <w:rPr>
        <w:rFonts w:ascii="Arial" w:cs="Arial" w:eastAsia="Arial" w:hAnsi="Arial"/>
        <w:b/>
        <w:bCs/>
        <w:color w:val="9A3412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F2933"/>
        <w:sz w:val="21"/>
        <w:szCs w:val="21"/>
      </w:rPr>
    </w:rPrDefault>
    <w:pPrDefault>
      <w:pPr>
        <w:spacing w:line="264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2026-07-15T00:58:45.964Z</dcterms:created>
  <dcterms:modified xsi:type="dcterms:W3CDTF">2026-07-15T00:58:45.979Z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