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52606D"/>
          <w:spacing w:val="24"/>
          <w:sz w:val="15"/>
          <w:szCs w:val="15"/>
        </w:rPr>
        <w:t xml:space="preserve">THE PERFORMANCE MACHINE  ·  ONLINE TOOLKIT  ·  TOOL 5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1F2933"/>
          <w:sz w:val="44"/>
          <w:szCs w:val="44"/>
        </w:rPr>
        <w:t xml:space="preserve">Rating Rationale Template</w:t>
      </w:r>
    </w:p>
    <w:p>
      <w:pPr>
        <w:pBdr>
          <w:bottom w:val="single" w:color="9A3412" w:sz="8" w:space="6"/>
        </w:pBdr>
        <w:spacing w:after="160"/>
      </w:pPr>
      <w:r>
        <w:rPr>
          <w:rFonts w:ascii="Arial" w:cs="Arial" w:eastAsia="Arial" w:hAnsi="Arial"/>
          <w:b/>
          <w:bCs/>
          <w:color w:val="9A3412"/>
          <w:sz w:val="19"/>
          <w:szCs w:val="19"/>
        </w:rPr>
        <w:t xml:space="preserve">Chapter 8 · for managers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The rating follows a person into compensation, promotion files, and layoff models. The artifact that matters is the rationale: the short paragraph connecting the evidence to the number. Most managers skip it or restate the rating. Write it.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Decode your scale first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A five-point scale claims five meanings; with consequences attached it operates as three: the rare top, the vast middle, the marked bottom. Know which band the number really sits in.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Know whether your system rates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performance, potential, or quietly both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(the nine-box). Decisions keyed to "potential" are the least evidenced and the most biased.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What stays ratable when agents do the typing (the four surfaces)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Rate the operator, not the output volume: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Specification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they asked for: framing, constraints, the new draftsmanship.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Verification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they caught: the confident errors that never reached a customer.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Judgment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they shipped, and what they had the sense to throw away.</w:t>
      </w:r>
    </w:p>
    <w:p>
      <w:pPr>
        <w:pStyle w:val="ListParagraph"/>
        <w:numPr>
          <w:ilvl w:val="0"/>
          <w:numId w:val="2"/>
        </w:numPr>
        <w:spacing w:after="7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Outcomes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what changed in the world: the one signal tools cannot inflate.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Plus, above baseline: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team dynamics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(what they did to the people around them) and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community contribution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(teaching, mentoring, raising the org's game).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four-sentence rationale form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Write four sentences per person. Each clause must trace to a conversation the employee was in.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What they owned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role and the year's expectations in one line.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What the evidence shows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delivered / partially / missed against those expectations, with the measure.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comparison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how that performance reads against the standard (calibration-ready, not "exceeds because exceeds").</w:t>
      </w:r>
    </w:p>
    <w:p>
      <w:pPr>
        <w:pStyle w:val="ListParagraph"/>
        <w:numPr>
          <w:ilvl w:val="0"/>
          <w:numId w:val="3"/>
        </w:numPr>
        <w:spacing w:after="90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The number it earns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: the rating, stated as the consequence of sentences 1–3.</w:t>
      </w:r>
    </w:p>
    <w:p>
      <w:pPr>
        <w:pBdr>
          <w:bottom w:val="single" w:color="CBD2D9" w:sz="4" w:space="4"/>
        </w:pBdr>
        <w:spacing w:after="100" w:before="240"/>
      </w:pPr>
      <w:r>
        <w:rPr>
          <w:rFonts w:ascii="Arial" w:cs="Arial" w:eastAsia="Arial" w:hAnsi="Arial"/>
          <w:b/>
          <w:bCs/>
          <w:color w:val="1F2933"/>
          <w:sz w:val="26"/>
          <w:szCs w:val="26"/>
        </w:rPr>
        <w:t xml:space="preserve">The bias read-aloud check (run before you submit)</w:t>
      </w:r>
    </w:p>
    <w:p>
      <w:pPr>
        <w:spacing w:after="140"/>
        <w:jc w:val="left"/>
      </w:pPr>
      <w:r>
        <w:rPr>
          <w:rFonts w:ascii="Georgia" w:cs="Georgia" w:eastAsia="Georgia" w:hAnsi="Georgia"/>
          <w:color w:val="1F2933"/>
          <w:sz w:val="21"/>
          <w:szCs w:val="21"/>
        </w:rPr>
        <w:t xml:space="preserve">Write all your rationales. Read them side by side. Ask: </w:t>
      </w: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who got described in outcomes, and who got described in personality?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Re-write anyone in the second group against the evidence. Watch especially for the subtle register (the "culture fit" judgment that is really proximity or background).</w:t>
      </w:r>
    </w:p>
    <w:p>
      <w:pPr>
        <w:spacing w:after="140"/>
        <w:jc w:val="left"/>
      </w:pPr>
      <w:r>
        <w:rPr>
          <w:rFonts w:ascii="Georgia" w:cs="Georgia" w:eastAsia="Georgia" w:hAnsi="Georgia"/>
          <w:b/>
          <w:bCs/>
          <w:color w:val="1F2933"/>
          <w:sz w:val="21"/>
          <w:szCs w:val="21"/>
        </w:rPr>
        <w:t xml:space="preserve">Two fairness rules:</w:t>
      </w:r>
      <w:r>
        <w:rPr>
          <w:rFonts w:ascii="Georgia" w:cs="Georgia" w:eastAsia="Georgia" w:hAnsi="Georgia"/>
          <w:color w:val="1F2933"/>
          <w:sz w:val="21"/>
          <w:szCs w:val="21"/>
        </w:rPr>
        <w:t xml:space="preserve"> tool access is part of any comparison (don't rate the procurement queue); and ignore the "nobody gets a five" doctrine: when a person earns the top of the scale, give it.</w:t>
      </w:r>
    </w:p>
    <w:sectPr>
      <w:footerReference w:type="default" r:id="rId7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2D9" w:sz="4" w:space="4"/>
      </w:pBdr>
      <w:tabs>
        <w:tab w:val="right" w:pos="9720"/>
      </w:tabs>
    </w:pPr>
    <w:r>
      <w:rPr>
        <w:rFonts w:ascii="Arial" w:cs="Arial" w:eastAsia="Arial" w:hAnsi="Arial"/>
        <w:color w:val="52606D"/>
        <w:sz w:val="15"/>
        <w:szCs w:val="15"/>
      </w:rPr>
      <w:t xml:space="preserve">The Performance Machine · 58nights.com/performance</w:t>
    </w:r>
    <w:r>
      <w:rPr>
        <w:rFonts w:ascii="Arial" w:cs="Arial" w:eastAsia="Arial" w:hAnsi="Arial"/>
        <w:sz w:val="15"/>
        <w:szCs w:val="15"/>
      </w:rPr>
      <w:t xml:space="preserve">	</w:t>
    </w:r>
    <w:r>
      <w:rPr>
        <w:rFonts w:ascii="Arial" w:cs="Arial" w:eastAsia="Arial" w:hAnsi="Arial"/>
        <w:color w:val="52606D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color w:val="9A3412"/>
      </w:rPr>
    </w:lvl>
    <w:lvl w:ilvl="1" w15:tentative="1">
      <w:start w:val="1"/>
      <w:numFmt w:val="bullet"/>
      <w:lvlText w:val="–"/>
      <w:lvlJc w:val="left"/>
      <w:pPr>
        <w:ind w:left="720" w:hanging="200"/>
      </w:pPr>
      <w:rPr>
        <w:color w:val="9A341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00" w:hanging="260"/>
      </w:pPr>
      <w:rPr>
        <w:rFonts w:ascii="Arial" w:cs="Arial" w:eastAsia="Arial" w:hAnsi="Arial"/>
        <w:b/>
        <w:bCs/>
        <w:color w:val="9A3412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F2933"/>
        <w:sz w:val="21"/>
        <w:szCs w:val="21"/>
      </w:rPr>
    </w:rPrDefault>
    <w:pPrDefault>
      <w:pPr>
        <w:spacing w:line="264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2026-07-15T00:58:46.235Z</dcterms:created>
  <dcterms:modified xsi:type="dcterms:W3CDTF">2026-07-15T00:58:46.235Z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