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52606D"/>
          <w:spacing w:val="24"/>
          <w:sz w:val="15"/>
          <w:szCs w:val="15"/>
        </w:rPr>
        <w:t xml:space="preserve">THE PERFORMANCE MACHINE  ·  ONLINE TOOLKIT  ·  TOOL 14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F2933"/>
          <w:sz w:val="44"/>
          <w:szCs w:val="44"/>
        </w:rPr>
        <w:t xml:space="preserve">Personal Vision &amp; Goal Cascade</w:t>
      </w:r>
    </w:p>
    <w:p>
      <w:pPr>
        <w:pBdr>
          <w:bottom w:val="single" w:color="9A3412" w:sz="8" w:space="6"/>
        </w:pBdr>
        <w:spacing w:after="160"/>
      </w:pPr>
      <w:r>
        <w:rPr>
          <w:rFonts w:ascii="Arial" w:cs="Arial" w:eastAsia="Arial" w:hAnsi="Arial"/>
          <w:b/>
          <w:bCs/>
          <w:color w:val="9A3412"/>
          <w:sz w:val="19"/>
          <w:szCs w:val="19"/>
        </w:rPr>
        <w:t xml:space="preserve">Chapter 16 · for individuals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The annual review looks backward. Your growth plan looks forward, and it belongs to you, not your employer. The only continuous thread in your career is you.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personal vision worksheet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A vision is a decision filter: when an opportunity aligns with it you know quickly, and when an objective doesn't serve it, the objective gets reworked or declined. Draft yours from these prompts: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Past achievements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the work you're proudest of, and what it had in common.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Values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what you will not trade away.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Differentiation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what you do that others in your field do not.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The big goal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the audacious one, stable enough to steer by for years.</w:t>
      </w:r>
    </w:p>
    <w:p>
      <w:pPr>
        <w:pBdr>
          <w:left w:val="single" w:color="9A3412" w:sz="18" w:space="12"/>
        </w:pBdr>
        <w:shd w:fill="F6F5F2" w:val="clear"/>
        <w:spacing w:after="90"/>
        <w:ind w:left="360"/>
      </w:pPr>
      <w:r>
        <w:rPr>
          <w:rFonts w:ascii="Georgia" w:cs="Georgia" w:eastAsia="Georgia" w:hAnsi="Georgia"/>
          <w:i/>
          <w:iCs/>
          <w:color w:val="3E4C59"/>
          <w:sz w:val="21"/>
          <w:szCs w:val="21"/>
        </w:rPr>
        <w:t xml:space="preserve">Write one or two sentences. Test it: does it make the next hard call easier? If not, it's a mood, not a vision.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five questions for any objective (a sharper SMART)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Strategic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what's the first concrete step, and does this ladder to your vision?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Meaningful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how will you know progress is real, and would it matter even if nobody was watching?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Assessable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which leading indicators tell you early you're on track, and which way should they move?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Rewarding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how will you mark incremental progress? (Motivation is a fuel system, not a character trait.)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Trackable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on what cadence will you check, and against what?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cascade (objective → quarter → this week)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An objective that never cascades below the annual level is an aspiration with a due date attached. Size it like a real year:</w:t>
      </w:r>
    </w:p>
    <w:tbl>
      <w:tblPr>
        <w:tblW w:type="dxa" w:w="9360"/>
        <w:tblBorders>
          <w:top w:val="single" w:color="CBD2D9" w:sz="4"/>
          <w:left w:val="single" w:color="CBD2D9" w:sz="4"/>
          <w:bottom w:val="single" w:color="CBD2D9" w:sz="4"/>
          <w:right w:val="single" w:color="CBD2D9" w:sz="4"/>
          <w:insideH w:val="single" w:color="CBD2D9" w:sz="4"/>
          <w:insideV w:val="single" w:color="CBD2D9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Level</w:t>
            </w:r>
          </w:p>
        </w:tc>
        <w:tc>
          <w:tcPr>
            <w:tcW w:type="dxa" w:w="5760"/>
            <w:shd w:fill="ECEFF1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2933"/>
                <w:sz w:val="19"/>
                <w:szCs w:val="19"/>
              </w:rPr>
              <w:t xml:space="preserve">Example</w:t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Objective (year)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Stand up a forward-deployed engineering practice: five client logos and one lighthouse account by December.</w:t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Half-year goal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Three engineers and two analysts hired by the end of the half.</w:t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Quarter goal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First engineer hired by the end of this quarter.</w:t>
            </w:r>
          </w:p>
        </w:tc>
      </w:tr>
      <w:tr>
        <w:trPr>
          <w:tblHeader w:val="false"/>
        </w:trPr>
        <w:tc>
          <w:tcPr>
            <w:tcW w:type="dxa" w:w="360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b/>
                <w:bCs/>
                <w:color w:val="1F2933"/>
                <w:sz w:val="20"/>
                <w:szCs w:val="20"/>
              </w:rPr>
              <w:t xml:space="preserve">This two-week cycle</w:t>
            </w:r>
          </w:p>
        </w:tc>
        <w:tc>
          <w:tcPr>
            <w:tcW w:type="dxa" w:w="5760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spacing w:after="40" w:before="40"/>
            </w:pPr>
            <w:r>
              <w:rPr>
                <w:rFonts w:ascii="Georgia" w:cs="Georgia" w:eastAsia="Georgia" w:hAnsi="Georgia"/>
                <w:color w:val="1F2933"/>
                <w:sz w:val="20"/>
                <w:szCs w:val="20"/>
              </w:rPr>
              <w:t xml:space="preserve">The next candidate moved through an interview loop: small enough that this week knows what to do.</w:t>
            </w:r>
          </w:p>
        </w:tc>
      </w:tr>
    </w:tbl>
    <w:p>
      <w:pPr>
        <w:spacing w:after="60"/>
      </w:pP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Close your own loops (monthly, one hour)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With your file (Ch15) and three questions: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Is this goal still pointed at my vision, or did the ground move?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What have I learned that should change the path?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Have I already extracted the value here, such that the remaining effort belongs somewhere else? </w:t>
      </w:r>
      <w:r>
        <w:rPr>
          <w:rFonts w:ascii="Georgia" w:cs="Georgia" w:eastAsia="Georgia" w:hAnsi="Georgia"/>
          <w:i/>
          <w:iCs/>
          <w:color w:val="1F2933"/>
          <w:sz w:val="21"/>
          <w:szCs w:val="21"/>
        </w:rPr>
        <w:t xml:space="preserve">(Stopping is underrated. Some of the best goal decisions are abandonments, on purpose, on evidence, ahead of schedule.)</w:t>
      </w:r>
    </w:p>
    <w:sectPr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2D9" w:sz="4" w:space="4"/>
      </w:pBdr>
      <w:tabs>
        <w:tab w:val="right" w:pos="9720"/>
      </w:tabs>
    </w:pPr>
    <w:r>
      <w:rPr>
        <w:rFonts w:ascii="Arial" w:cs="Arial" w:eastAsia="Arial" w:hAnsi="Arial"/>
        <w:color w:val="52606D"/>
        <w:sz w:val="15"/>
        <w:szCs w:val="15"/>
      </w:rPr>
      <w:t xml:space="preserve">The Performance Machine · 58nights.com/performance</w:t>
    </w:r>
    <w:r>
      <w:rPr>
        <w:rFonts w:ascii="Arial" w:cs="Arial" w:eastAsia="Arial" w:hAnsi="Arial"/>
        <w:sz w:val="15"/>
        <w:szCs w:val="15"/>
      </w:rPr>
      <w:t xml:space="preserve">	</w:t>
    </w:r>
    <w:r>
      <w:rPr>
        <w:rFonts w:ascii="Arial" w:cs="Arial" w:eastAsia="Arial" w:hAnsi="Arial"/>
        <w:color w:val="52606D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  <w:rPr>
        <w:color w:val="9A3412"/>
      </w:rPr>
    </w:lvl>
    <w:lvl w:ilvl="1" w15:tentative="1">
      <w:start w:val="1"/>
      <w:numFmt w:val="bullet"/>
      <w:lvlText w:val="–"/>
      <w:lvlJc w:val="left"/>
      <w:pPr>
        <w:ind w:left="720" w:hanging="200"/>
      </w:pPr>
      <w:rPr>
        <w:color w:val="9A341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00" w:hanging="260"/>
      </w:pPr>
      <w:rPr>
        <w:rFonts w:ascii="Arial" w:cs="Arial" w:eastAsia="Arial" w:hAnsi="Arial"/>
        <w:b/>
        <w:bCs/>
        <w:color w:val="9A3412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F2933"/>
        <w:sz w:val="21"/>
        <w:szCs w:val="21"/>
      </w:rPr>
    </w:rPrDefault>
    <w:pPrDefault>
      <w:pPr>
        <w:spacing w:line="264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2026-07-15T00:58:46.564Z</dcterms:created>
  <dcterms:modified xsi:type="dcterms:W3CDTF">2026-07-15T00:58:46.564Z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