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52606D"/>
          <w:spacing w:val="24"/>
          <w:sz w:val="15"/>
          <w:szCs w:val="15"/>
        </w:rPr>
        <w:t xml:space="preserve">THE PERFORMANCE MACHINE  ·  ONLINE TOOLKIT  ·  TOOL 17</w:t>
      </w:r>
    </w:p>
    <w:p>
      <w:pPr>
        <w:spacing w:after="40"/>
      </w:pPr>
      <w:r>
        <w:rPr>
          <w:rFonts w:ascii="Arial" w:cs="Arial" w:eastAsia="Arial" w:hAnsi="Arial"/>
          <w:b/>
          <w:bCs/>
          <w:color w:val="1F2933"/>
          <w:sz w:val="44"/>
          <w:szCs w:val="44"/>
        </w:rPr>
        <w:t xml:space="preserve">Executive Brief: Keep / Kill / Build</w:t>
      </w:r>
    </w:p>
    <w:p>
      <w:pPr>
        <w:pBdr>
          <w:bottom w:val="single" w:color="9A3412" w:sz="8" w:space="6"/>
        </w:pBdr>
        <w:spacing w:after="160"/>
      </w:pPr>
      <w:r>
        <w:rPr>
          <w:rFonts w:ascii="Arial" w:cs="Arial" w:eastAsia="Arial" w:hAnsi="Arial"/>
          <w:b/>
          <w:bCs/>
          <w:color w:val="9A3412"/>
          <w:sz w:val="19"/>
          <w:szCs w:val="19"/>
        </w:rPr>
        <w:t xml:space="preserve">Chapter 19 · for leaders · the two-page version for whoever won't read nineteen chapters</w:t>
      </w:r>
    </w:p>
    <w:p>
      <w:pPr>
        <w:spacing w:after="140"/>
        <w:jc w:val="left"/>
      </w:pPr>
      <w:r>
        <w:rPr>
          <w:rFonts w:ascii="Georgia" w:cs="Georgia" w:eastAsia="Georgia" w:hAnsi="Georgia"/>
          <w:color w:val="1F2933"/>
          <w:sz w:val="21"/>
          <w:szCs w:val="21"/>
        </w:rPr>
        <w:t xml:space="preserve">Redesigning a performance system is less like writing a policy and more like building a race car. You keep the frame, you strip the weight, and you rebuild the engine. Most performance machinery is built the opposite way: every year someone bolts on another competency model, another step, another form, and nobody is ever assigned to take anything off.</w:t>
      </w:r>
    </w:p>
    <w:p>
      <w:pPr>
        <w:pBdr>
          <w:bottom w:val="single" w:color="CBD2D9" w:sz="4" w:space="4"/>
        </w:pBdr>
        <w:spacing w:after="100" w:before="240"/>
      </w:pPr>
      <w:r>
        <w:rPr>
          <w:rFonts w:ascii="Arial" w:cs="Arial" w:eastAsia="Arial" w:hAnsi="Arial"/>
          <w:b/>
          <w:bCs/>
          <w:color w:val="1F2933"/>
          <w:sz w:val="26"/>
          <w:szCs w:val="26"/>
        </w:rPr>
        <w:t xml:space="preserve">KEEP (the frame)</w:t>
      </w:r>
    </w:p>
    <w:p>
      <w:pPr>
        <w:pStyle w:val="ListParagraph"/>
        <w:numPr>
          <w:ilvl w:val="0"/>
          <w:numId w:val="2"/>
        </w:numPr>
        <w:spacing w:after="70"/>
      </w:pPr>
      <w:r>
        <w:rPr>
          <w:rFonts w:ascii="Georgia" w:cs="Georgia" w:eastAsia="Georgia" w:hAnsi="Georgia"/>
          <w:b/>
          <w:bCs/>
          <w:color w:val="1F2933"/>
          <w:sz w:val="21"/>
          <w:szCs w:val="21"/>
        </w:rPr>
        <w:t xml:space="preserve">An annual synthesis.</w:t>
      </w:r>
      <w:r>
        <w:rPr>
          <w:rFonts w:ascii="Georgia" w:cs="Georgia" w:eastAsia="Georgia" w:hAnsi="Georgia"/>
          <w:color w:val="1F2933"/>
          <w:sz w:val="21"/>
          <w:szCs w:val="21"/>
        </w:rPr>
        <w:t xml:space="preserve"> A once-a-year, written, evidence-based synthesis serves what daily feedback cannot: it forces pattern recognition over recency, creates the record fairness and the law now require, and marks time in careers that otherwise blur. </w:t>
      </w:r>
      <w:r>
        <w:rPr>
          <w:rFonts w:ascii="Georgia" w:cs="Georgia" w:eastAsia="Georgia" w:hAnsi="Georgia"/>
          <w:i/>
          <w:iCs/>
          <w:color w:val="1F2933"/>
          <w:sz w:val="21"/>
          <w:szCs w:val="21"/>
        </w:rPr>
        <w:t xml:space="preserve">Keep the synthesis. Kill the theater around it.</w:t>
      </w:r>
    </w:p>
    <w:p>
      <w:pPr>
        <w:pStyle w:val="ListParagraph"/>
        <w:numPr>
          <w:ilvl w:val="0"/>
          <w:numId w:val="2"/>
        </w:numPr>
        <w:spacing w:after="70"/>
      </w:pPr>
      <w:r>
        <w:rPr>
          <w:rFonts w:ascii="Georgia" w:cs="Georgia" w:eastAsia="Georgia" w:hAnsi="Georgia"/>
          <w:b/>
          <w:bCs/>
          <w:color w:val="1F2933"/>
          <w:sz w:val="21"/>
          <w:szCs w:val="21"/>
        </w:rPr>
        <w:t xml:space="preserve">Calibration, reformed.</w:t>
      </w:r>
      <w:r>
        <w:rPr>
          <w:rFonts w:ascii="Georgia" w:cs="Georgia" w:eastAsia="Georgia" w:hAnsi="Georgia"/>
          <w:color w:val="1F2933"/>
          <w:sz w:val="21"/>
          <w:szCs w:val="21"/>
        </w:rPr>
        <w:t xml:space="preserve"> The instinct (one manager's "exceeds" should mean another's) is sound. Keep the cross-team session; change its question from "does the math work?" to "does the evidence support these ratings, consistently?"</w:t>
      </w:r>
    </w:p>
    <w:p>
      <w:pPr>
        <w:pStyle w:val="ListParagraph"/>
        <w:numPr>
          <w:ilvl w:val="0"/>
          <w:numId w:val="2"/>
        </w:numPr>
        <w:spacing w:after="70"/>
      </w:pPr>
      <w:r>
        <w:rPr>
          <w:rFonts w:ascii="Georgia" w:cs="Georgia" w:eastAsia="Georgia" w:hAnsi="Georgia"/>
          <w:b/>
          <w:bCs/>
          <w:color w:val="1F2933"/>
          <w:sz w:val="21"/>
          <w:szCs w:val="21"/>
        </w:rPr>
        <w:t xml:space="preserve">The development conversation, protected.</w:t>
      </w:r>
      <w:r>
        <w:rPr>
          <w:rFonts w:ascii="Georgia" w:cs="Georgia" w:eastAsia="Georgia" w:hAnsi="Georgia"/>
          <w:color w:val="1F2933"/>
          <w:sz w:val="21"/>
          <w:szCs w:val="21"/>
        </w:rPr>
        <w:t xml:space="preserve"> Separated in time from money and ratings, owned by the manager, fed by a mutual evidence file.</w:t>
      </w:r>
    </w:p>
    <w:p>
      <w:pPr>
        <w:pBdr>
          <w:bottom w:val="single" w:color="CBD2D9" w:sz="4" w:space="4"/>
        </w:pBdr>
        <w:spacing w:after="100" w:before="240"/>
      </w:pPr>
      <w:r>
        <w:rPr>
          <w:rFonts w:ascii="Arial" w:cs="Arial" w:eastAsia="Arial" w:hAnsi="Arial"/>
          <w:b/>
          <w:bCs/>
          <w:color w:val="1F2933"/>
          <w:sz w:val="26"/>
          <w:szCs w:val="26"/>
        </w:rPr>
        <w:t xml:space="preserve">KILL (the weight)</w:t>
      </w:r>
    </w:p>
    <w:p>
      <w:pPr>
        <w:pStyle w:val="ListParagraph"/>
        <w:numPr>
          <w:ilvl w:val="0"/>
          <w:numId w:val="2"/>
        </w:numPr>
        <w:spacing w:after="70"/>
      </w:pPr>
      <w:r>
        <w:rPr>
          <w:rFonts w:ascii="Georgia" w:cs="Georgia" w:eastAsia="Georgia" w:hAnsi="Georgia"/>
          <w:b/>
          <w:bCs/>
          <w:color w:val="1F2933"/>
          <w:sz w:val="21"/>
          <w:szCs w:val="21"/>
        </w:rPr>
        <w:t xml:space="preserve">Forced distribution, under every alias.</w:t>
      </w:r>
      <w:r>
        <w:rPr>
          <w:rFonts w:ascii="Georgia" w:cs="Georgia" w:eastAsia="Georgia" w:hAnsi="Georgia"/>
          <w:color w:val="1F2933"/>
          <w:sz w:val="21"/>
          <w:szCs w:val="21"/>
        </w:rPr>
        <w:t xml:space="preserve"> The evidence hasn't changed in forty years; only the bargaining power has. Rank only when a decision genuinely requires comparison, by criteria you'd publish, never as an annual ritual of fractional demotion.</w:t>
      </w:r>
    </w:p>
    <w:p>
      <w:pPr>
        <w:pStyle w:val="ListParagraph"/>
        <w:numPr>
          <w:ilvl w:val="0"/>
          <w:numId w:val="2"/>
        </w:numPr>
        <w:spacing w:after="70"/>
      </w:pPr>
      <w:r>
        <w:rPr>
          <w:rFonts w:ascii="Georgia" w:cs="Georgia" w:eastAsia="Georgia" w:hAnsi="Georgia"/>
          <w:b/>
          <w:bCs/>
          <w:color w:val="1F2933"/>
          <w:sz w:val="21"/>
          <w:szCs w:val="21"/>
        </w:rPr>
        <w:t xml:space="preserve">Ratings as layoff infrastructure.</w:t>
      </w:r>
      <w:r>
        <w:rPr>
          <w:rFonts w:ascii="Georgia" w:cs="Georgia" w:eastAsia="Georgia" w:hAnsi="Georgia"/>
          <w:color w:val="1F2933"/>
          <w:sz w:val="21"/>
          <w:szCs w:val="21"/>
        </w:rPr>
        <w:t xml:space="preserve"> If a reduction in force is necessary, run one: honest criteria, real severance, the company's name on the decision. Routing it through performance machinery to save money poisons every input the machinery needs, for years. This is the worst trade in modern management. Refuse it.</w:t>
      </w:r>
    </w:p>
    <w:p>
      <w:pPr>
        <w:pBdr>
          <w:bottom w:val="single" w:color="CBD2D9" w:sz="4" w:space="4"/>
        </w:pBdr>
        <w:spacing w:after="100" w:before="240"/>
      </w:pPr>
      <w:r>
        <w:rPr>
          <w:rFonts w:ascii="Arial" w:cs="Arial" w:eastAsia="Arial" w:hAnsi="Arial"/>
          <w:b/>
          <w:bCs/>
          <w:color w:val="1F2933"/>
          <w:sz w:val="26"/>
          <w:szCs w:val="26"/>
        </w:rPr>
        <w:t xml:space="preserve">BUILD (the engine, and the migration that survives a budget cycle)</w:t>
      </w:r>
    </w:p>
    <w:p>
      <w:pPr>
        <w:spacing w:after="140"/>
        <w:jc w:val="left"/>
      </w:pPr>
      <w:r>
        <w:rPr>
          <w:rFonts w:ascii="Georgia" w:cs="Georgia" w:eastAsia="Georgia" w:hAnsi="Georgia"/>
          <w:color w:val="1F2933"/>
          <w:sz w:val="21"/>
          <w:szCs w:val="21"/>
        </w:rPr>
        <w:t xml:space="preserve">Killing a forced curve fails the way all change programs fail: announced from the top, celebrated for a quarter, quietly reversed at the first hard budget. The sequence that survives:</w:t>
      </w:r>
    </w:p>
    <w:p>
      <w:pPr>
        <w:pStyle w:val="ListParagraph"/>
        <w:numPr>
          <w:ilvl w:val="0"/>
          <w:numId w:val="3"/>
        </w:numPr>
        <w:spacing w:after="90"/>
      </w:pPr>
      <w:r>
        <w:rPr>
          <w:rFonts w:ascii="Georgia" w:cs="Georgia" w:eastAsia="Georgia" w:hAnsi="Georgia"/>
          <w:b/>
          <w:bCs/>
          <w:color w:val="1F2933"/>
          <w:sz w:val="21"/>
          <w:szCs w:val="21"/>
        </w:rPr>
        <w:t xml:space="preserve">Fix the inputs before touching the outputs.</w:t>
      </w:r>
      <w:r>
        <w:rPr>
          <w:rFonts w:ascii="Georgia" w:cs="Georgia" w:eastAsia="Georgia" w:hAnsi="Georgia"/>
          <w:color w:val="1F2933"/>
          <w:sz w:val="21"/>
          <w:szCs w:val="21"/>
        </w:rPr>
        <w:t xml:space="preserve"> A company whose managers don't set written expectations or keep evidence files cannot remove its curve; the curve is its only consistency mechanism. Spend two or three cycles building the Part II disciplines as requirements, and audit them. (Skipping this is why the 2010s reforms rolled back.)</w:t>
      </w:r>
    </w:p>
    <w:p>
      <w:pPr>
        <w:pStyle w:val="ListParagraph"/>
        <w:numPr>
          <w:ilvl w:val="0"/>
          <w:numId w:val="3"/>
        </w:numPr>
        <w:spacing w:after="90"/>
      </w:pPr>
      <w:r>
        <w:rPr>
          <w:rFonts w:ascii="Georgia" w:cs="Georgia" w:eastAsia="Georgia" w:hAnsi="Georgia"/>
          <w:b/>
          <w:bCs/>
          <w:color w:val="1F2933"/>
          <w:sz w:val="21"/>
          <w:szCs w:val="21"/>
        </w:rPr>
        <w:t xml:space="preserve">Convert calibration from distribution enforcement to standards review</w:t>
      </w:r>
      <w:r>
        <w:rPr>
          <w:rFonts w:ascii="Georgia" w:cs="Georgia" w:eastAsia="Georgia" w:hAnsi="Georgia"/>
          <w:color w:val="1F2933"/>
          <w:sz w:val="21"/>
          <w:szCs w:val="21"/>
        </w:rPr>
        <w:t xml:space="preserve">: openly, published in the meeting's charter. Track the distribution for information; stop mandating it.</w:t>
      </w:r>
    </w:p>
    <w:p>
      <w:pPr>
        <w:pStyle w:val="ListParagraph"/>
        <w:numPr>
          <w:ilvl w:val="0"/>
          <w:numId w:val="3"/>
        </w:numPr>
        <w:spacing w:after="90"/>
      </w:pPr>
      <w:r>
        <w:rPr>
          <w:rFonts w:ascii="Georgia" w:cs="Georgia" w:eastAsia="Georgia" w:hAnsi="Georgia"/>
          <w:b/>
          <w:bCs/>
          <w:color w:val="1F2933"/>
          <w:sz w:val="21"/>
          <w:szCs w:val="21"/>
        </w:rPr>
        <w:t xml:space="preserve">Protect the development conversation and instrument the experience</w:t>
      </w:r>
      <w:r>
        <w:rPr>
          <w:rFonts w:ascii="Georgia" w:cs="Georgia" w:eastAsia="Georgia" w:hAnsi="Georgia"/>
          <w:color w:val="1F2933"/>
          <w:sz w:val="21"/>
          <w:szCs w:val="21"/>
        </w:rPr>
        <w:t xml:space="preserve"> (Ch18) so the system improves on evidence, not on slogans.</w:t>
      </w:r>
    </w:p>
    <w:p>
      <w:pPr>
        <w:spacing w:after="140"/>
        <w:jc w:val="left"/>
      </w:pPr>
      <w:r>
        <w:rPr>
          <w:rFonts w:ascii="Georgia" w:cs="Georgia" w:eastAsia="Georgia" w:hAnsi="Georgia"/>
          <w:i/>
          <w:iCs/>
          <w:color w:val="1F2933"/>
          <w:sz w:val="21"/>
          <w:szCs w:val="21"/>
        </w:rPr>
        <w:t xml:space="preserve">Pair this brief with the Legal Current-Status Page (Ch4) for the executive packet.</w:t>
      </w:r>
    </w:p>
    <w:sectPr>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2D9" w:sz="4" w:space="4"/>
      </w:pBdr>
      <w:tabs>
        <w:tab w:val="right" w:pos="9720"/>
      </w:tabs>
    </w:pPr>
    <w:r>
      <w:rPr>
        <w:rFonts w:ascii="Arial" w:cs="Arial" w:eastAsia="Arial" w:hAnsi="Arial"/>
        <w:color w:val="52606D"/>
        <w:sz w:val="15"/>
        <w:szCs w:val="15"/>
      </w:rPr>
      <w:t xml:space="preserve">The Performance Machine · 58nights.com/performance</w:t>
    </w:r>
    <w:r>
      <w:rPr>
        <w:rFonts w:ascii="Arial" w:cs="Arial" w:eastAsia="Arial" w:hAnsi="Arial"/>
        <w:sz w:val="15"/>
        <w:szCs w:val="15"/>
      </w:rPr>
      <w:t xml:space="preserve">	</w:t>
    </w:r>
    <w:r>
      <w:rPr>
        <w:rFonts w:ascii="Arial" w:cs="Arial" w:eastAsia="Arial" w:hAnsi="Arial"/>
        <w:color w:val="52606D"/>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rPr>
        <w:color w:val="9A3412"/>
      </w:rPr>
    </w:lvl>
    <w:lvl w:ilvl="1" w15:tentative="1">
      <w:start w:val="1"/>
      <w:numFmt w:val="bullet"/>
      <w:lvlText w:val="–"/>
      <w:lvlJc w:val="left"/>
      <w:pPr>
        <w:ind w:left="720" w:hanging="200"/>
      </w:pPr>
      <w:rPr>
        <w:color w:val="9A3412"/>
      </w:rPr>
    </w:lvl>
  </w:abstractNum>
  <w:abstractNum w:abstractNumId="3" w15:restartNumberingAfterBreak="0">
    <w:multiLevelType w:val="hybridMultilevel"/>
    <w:lvl w:ilvl="0" w15:tentative="1">
      <w:start w:val="1"/>
      <w:numFmt w:val="decimal"/>
      <w:lvlText w:val="%1."/>
      <w:lvlJc w:val="left"/>
      <w:pPr>
        <w:ind w:left="400" w:hanging="260"/>
      </w:pPr>
      <w:rPr>
        <w:rFonts w:ascii="Arial" w:cs="Arial" w:eastAsia="Arial" w:hAnsi="Arial"/>
        <w:b/>
        <w:bCs/>
        <w:color w:val="9A3412"/>
        <w:sz w:val="20"/>
        <w:szCs w:val="20"/>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F2933"/>
        <w:sz w:val="21"/>
        <w:szCs w:val="21"/>
      </w:rPr>
    </w:rPrDefault>
    <w:pPrDefault>
      <w:pPr>
        <w:spacing w:line="264"/>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2026-07-15T00:58:46.593Z</dcterms:created>
  <dcterms:modified xsi:type="dcterms:W3CDTF">2026-07-15T00:58:46.593Z</dcterms:modified>
</cp:coreProperties>
</file>

<file path=docProps/custom.xml><?xml version="1.0" encoding="utf-8"?>
<Properties xmlns="http://schemas.openxmlformats.org/officeDocument/2006/custom-properties" xmlns:vt="http://schemas.openxmlformats.org/officeDocument/2006/docPropsVTypes"/>
</file>